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A69DF" w14:textId="386AEF7F" w:rsidR="005D314E" w:rsidRPr="00576C3D" w:rsidRDefault="00576C3D" w:rsidP="00576C3D">
      <w:pPr>
        <w:pStyle w:val="i-dep"/>
      </w:pPr>
      <w:r w:rsidRPr="00576C3D">
        <w:t>Klima- og miljødepartementet</w:t>
      </w:r>
    </w:p>
    <w:p w14:paraId="35AC692D" w14:textId="77777777" w:rsidR="005D314E" w:rsidRPr="00576C3D" w:rsidRDefault="005D314E" w:rsidP="00576C3D">
      <w:pPr>
        <w:pStyle w:val="i-hode"/>
      </w:pPr>
      <w:r w:rsidRPr="00576C3D">
        <w:t>Prop. 60 LS</w:t>
      </w:r>
    </w:p>
    <w:p w14:paraId="324BC308" w14:textId="77777777" w:rsidR="005D314E" w:rsidRPr="00576C3D" w:rsidRDefault="005D314E" w:rsidP="00576C3D">
      <w:pPr>
        <w:pStyle w:val="i-sesjon"/>
      </w:pPr>
      <w:r w:rsidRPr="00576C3D">
        <w:t>(2025–2026)</w:t>
      </w:r>
    </w:p>
    <w:p w14:paraId="1F85E206" w14:textId="77777777" w:rsidR="005D314E" w:rsidRPr="00576C3D" w:rsidRDefault="005D314E" w:rsidP="00576C3D">
      <w:pPr>
        <w:pStyle w:val="i-hode-tit"/>
      </w:pPr>
      <w:r w:rsidRPr="00576C3D">
        <w:t>Proposisjon til Stortinget (forslag til lovvedtak og stortingsvedtak)</w:t>
      </w:r>
    </w:p>
    <w:p w14:paraId="6E3CCB08" w14:textId="77777777" w:rsidR="005D314E" w:rsidRPr="00576C3D" w:rsidRDefault="005D314E" w:rsidP="00576C3D">
      <w:pPr>
        <w:pStyle w:val="i-tit"/>
      </w:pPr>
      <w:r w:rsidRPr="00576C3D">
        <w:t xml:space="preserve">Lov om justering av karbonpris ved import </w:t>
      </w:r>
      <w:r w:rsidRPr="00576C3D">
        <w:br/>
        <w:t xml:space="preserve">av varer til EØS (CBAM-loven) og samtykke </w:t>
      </w:r>
      <w:r w:rsidRPr="00576C3D">
        <w:br/>
        <w:t xml:space="preserve">til deltakelse i beslutninger i EØS-komiteen </w:t>
      </w:r>
      <w:r w:rsidRPr="00576C3D">
        <w:br/>
        <w:t xml:space="preserve">om innlemmelse i EØS-avtalen av forordning (EU) 2023/956 (CBAM-forordningen) og forordning (EU) 2025/2083 (endringer </w:t>
      </w:r>
      <w:r w:rsidRPr="00576C3D">
        <w:br/>
        <w:t xml:space="preserve">i CBAM-forordningen), og om tilgang til </w:t>
      </w:r>
      <w:r w:rsidRPr="00576C3D">
        <w:br/>
        <w:t xml:space="preserve">og finansiering av IT-tekniske systemer </w:t>
      </w:r>
      <w:r w:rsidRPr="00576C3D">
        <w:br/>
        <w:t>i CBAM</w:t>
      </w:r>
    </w:p>
    <w:p w14:paraId="2D45DD5B" w14:textId="7E0BBDC0" w:rsidR="005D314E" w:rsidRPr="00576C3D" w:rsidRDefault="00576C3D" w:rsidP="00576C3D">
      <w:pPr>
        <w:pStyle w:val="i-dep"/>
      </w:pPr>
      <w:r w:rsidRPr="00576C3D">
        <w:t>Klima- og miljødepartementet</w:t>
      </w:r>
    </w:p>
    <w:p w14:paraId="6C49B1D1" w14:textId="77777777" w:rsidR="005D314E" w:rsidRPr="00576C3D" w:rsidRDefault="005D314E" w:rsidP="00576C3D">
      <w:pPr>
        <w:pStyle w:val="i-hode"/>
      </w:pPr>
      <w:r w:rsidRPr="00576C3D">
        <w:t>Prop. 60 LS</w:t>
      </w:r>
    </w:p>
    <w:p w14:paraId="62377CE2" w14:textId="77777777" w:rsidR="005D314E" w:rsidRPr="00576C3D" w:rsidRDefault="005D314E" w:rsidP="00576C3D">
      <w:pPr>
        <w:pStyle w:val="i-sesjon"/>
      </w:pPr>
      <w:r w:rsidRPr="00576C3D">
        <w:t>(2025–2026)</w:t>
      </w:r>
    </w:p>
    <w:p w14:paraId="05BEE1EA" w14:textId="77777777" w:rsidR="005D314E" w:rsidRPr="00576C3D" w:rsidRDefault="005D314E" w:rsidP="00576C3D">
      <w:pPr>
        <w:pStyle w:val="i-hode-tit"/>
      </w:pPr>
      <w:r w:rsidRPr="00576C3D">
        <w:lastRenderedPageBreak/>
        <w:t>Proposisjon til Stortinget (forslag til lovvedtak og stortingsvedtak)</w:t>
      </w:r>
    </w:p>
    <w:p w14:paraId="06ED927F" w14:textId="77777777" w:rsidR="005D314E" w:rsidRPr="00576C3D" w:rsidRDefault="005D314E" w:rsidP="00576C3D">
      <w:pPr>
        <w:pStyle w:val="i-tit"/>
      </w:pPr>
      <w:r w:rsidRPr="00576C3D">
        <w:t xml:space="preserve">Lov om justering av karbonpris ved import </w:t>
      </w:r>
      <w:r w:rsidRPr="00576C3D">
        <w:br/>
        <w:t xml:space="preserve">av varer til EØS (CBAM-loven) og samtykke </w:t>
      </w:r>
      <w:r w:rsidRPr="00576C3D">
        <w:br/>
        <w:t>til deltakelse i beslutninger i EØS-komiteen</w:t>
      </w:r>
      <w:r w:rsidRPr="00576C3D">
        <w:br/>
        <w:t xml:space="preserve">om innlemmelse i EØS-avtalen av forordning </w:t>
      </w:r>
      <w:r w:rsidRPr="00576C3D">
        <w:br/>
        <w:t xml:space="preserve">(EU) 2023/956 (CBAM-forordningen) og </w:t>
      </w:r>
      <w:r w:rsidRPr="00576C3D">
        <w:br/>
        <w:t>forordning (EU) 2025/2083 (endringer</w:t>
      </w:r>
      <w:r w:rsidRPr="00576C3D">
        <w:br/>
        <w:t>i CBAM-forordningen), og om tilgang til</w:t>
      </w:r>
      <w:r w:rsidRPr="00576C3D">
        <w:br/>
        <w:t xml:space="preserve">og finansiering av IT-tekniske systemer </w:t>
      </w:r>
      <w:r w:rsidRPr="00576C3D">
        <w:br/>
        <w:t>i CBAM</w:t>
      </w:r>
    </w:p>
    <w:p w14:paraId="6319C65C" w14:textId="77777777" w:rsidR="005D314E" w:rsidRPr="00576C3D" w:rsidRDefault="005D314E" w:rsidP="00576C3D">
      <w:pPr>
        <w:pStyle w:val="i-statsrdato"/>
      </w:pPr>
      <w:r w:rsidRPr="00576C3D">
        <w:t xml:space="preserve">Tilråding fra Klima- og miljødepartementet 27. mars 2026, </w:t>
      </w:r>
      <w:r w:rsidRPr="00576C3D">
        <w:br/>
        <w:t xml:space="preserve">godkjent i statsråd samme dag. </w:t>
      </w:r>
      <w:r w:rsidRPr="00576C3D">
        <w:br/>
        <w:t>(Regjeringen Støre)</w:t>
      </w:r>
    </w:p>
    <w:p w14:paraId="6EDBA869" w14:textId="77777777" w:rsidR="005D314E" w:rsidRPr="00576C3D" w:rsidRDefault="005D314E" w:rsidP="00576C3D">
      <w:pPr>
        <w:pStyle w:val="Overskrift1"/>
      </w:pPr>
      <w:r w:rsidRPr="00576C3D">
        <w:t>Proposisjonens hovedinnhold</w:t>
      </w:r>
    </w:p>
    <w:p w14:paraId="7BD8C10C" w14:textId="77777777" w:rsidR="005D314E" w:rsidRPr="00576C3D" w:rsidRDefault="005D314E" w:rsidP="00576C3D">
      <w:r w:rsidRPr="00576C3D">
        <w:t>Klima- og miljødepartementet foreslår i denne proposisjonen en lov om justering av karbonpris ved import av varer til EØS (CBAM-loven). Loven gjennomfører forordning (EU) 2023/956, endret ved forordning (EU) 2025/2083 (heretter samlet «CBAM-forordningen», og for endringene alene «endringsforordningen om forenklinger»), i norsk rett gjennom en inkorporasjonsbestemmelse. I tillegg inneholder lovforslaget hjemmel til å gi forskrifter som gjennomfører underliggende rettsakter som vedtas av EU-kommisjonen og supplerende bestemmelser som er nødvendige for at regelverket skal fungere etter sin hensikt i Norge.</w:t>
      </w:r>
    </w:p>
    <w:p w14:paraId="4572E1C5" w14:textId="77777777" w:rsidR="005D314E" w:rsidRPr="00576C3D" w:rsidRDefault="005D314E" w:rsidP="00576C3D">
      <w:r w:rsidRPr="00576C3D">
        <w:t>Den som importerer varer omfattet av CBAM til EØS, må søke om godkjenning som CBAM-</w:t>
      </w:r>
      <w:proofErr w:type="spellStart"/>
      <w:r w:rsidRPr="00576C3D">
        <w:t>deklarant</w:t>
      </w:r>
      <w:proofErr w:type="spellEnd"/>
      <w:r w:rsidRPr="00576C3D">
        <w:t xml:space="preserve"> og svare CBAM-sertifikater for utslipp fra produksjonen i tredjeland. Formålet med CBAM-forordningen er å motvirke karbonlekkasje og samtidig motivere land utenfor EØS til å innføre karbonprising på samme nivå som kvoteprisen i EUs klimakvotesystem. Karbonlekkasje er en betegnelse på at bedrifter, investeringer, aktivitet eller utslipp flyttes til, eller erstattes av produkter fra bedrifter i, land som har mindre ambisiøs klimapolitikk og lavere prising av klimagassutslipp enn i EØS.</w:t>
      </w:r>
    </w:p>
    <w:p w14:paraId="634C1882" w14:textId="77777777" w:rsidR="005D314E" w:rsidRPr="00576C3D" w:rsidRDefault="005D314E" w:rsidP="00576C3D">
      <w:r w:rsidRPr="00576C3D">
        <w:t>Departementet foreslår at loven trer i kraft fra det tidspunktet Kongen bestemmer. CBAM-loven kan imidlertid ikke tre i kraft før CBAM-forordningen er innlemmet i EØS-avtalen gjennom en beslutning i EØS-komiteen.</w:t>
      </w:r>
    </w:p>
    <w:p w14:paraId="79551A2D" w14:textId="77777777" w:rsidR="005D314E" w:rsidRPr="00576C3D" w:rsidRDefault="005D314E" w:rsidP="00576C3D">
      <w:r w:rsidRPr="00576C3D">
        <w:t>På det tidspunktet proposisjonen fremmes til Stortinget, foreligger det ikke et endelig utkast til EØS-komitébeslutning om CBAM-forordningen til behandling i EUs organer. Departementet vurderer likevel at utkastet er tilnærmet ferdigstilt, og at det kun gjenstår tekniske detaljer før det sendes til behandling i EUs organer. Utkastet inneholder tilpasninger for å hensynta særlige forhold ved EØS-avtalen, inkludert behovet for å legge kompetanse til EFTA-organer og for å sikre gode løsninger for tollrelaterte forhold.</w:t>
      </w:r>
    </w:p>
    <w:p w14:paraId="50DA2037" w14:textId="7D40F694" w:rsidR="005D314E" w:rsidRPr="00576C3D" w:rsidRDefault="005D314E" w:rsidP="00576C3D">
      <w:r w:rsidRPr="00576C3D">
        <w:t>Det er et mål at CBAM-forordningen skal gjelde fullt ut i Norge fra 1. januar 2027. For å sikre en helhetlig behandling av saken og gi aktørene mest mulig tid og forutsigbarhet med tanke på de kravene som vil gjelde ved ikrafttredelse,</w:t>
      </w:r>
      <w:r w:rsidR="00576C3D">
        <w:t xml:space="preserve"> </w:t>
      </w:r>
      <w:r w:rsidRPr="00576C3D">
        <w:t>fremmes derfor en kombinert lov- og samtykkeproposisjon til Stortinget. Det arbeides for at aktører i EØS/EFTA-statene skal kunne autoriseres som CBAM-</w:t>
      </w:r>
      <w:proofErr w:type="spellStart"/>
      <w:r w:rsidRPr="00576C3D">
        <w:t>deklaranter</w:t>
      </w:r>
      <w:proofErr w:type="spellEnd"/>
      <w:r w:rsidRPr="00576C3D">
        <w:t xml:space="preserve"> så tidlig som mulig, før de øvrige forpliktelsene i forordningen trer i kraft. I tilpasningene i utkastet til EØS-komitébeslutningen fremgår det at reglene om autorisering kan tre i kraft fra 1. september 2026, forutsatt vedtak i EØS-komiteen og at EFTA-statene har løftet sine konstitusjonelle forbehold. For å unngå unødige forsinkelser bes det om Stortingets forhåndssamtykke til å innlemme CBAM-forordningen i EØS-avtalen.</w:t>
      </w:r>
    </w:p>
    <w:p w14:paraId="5B12BF29" w14:textId="77777777" w:rsidR="005D314E" w:rsidRPr="00576C3D" w:rsidRDefault="005D314E" w:rsidP="00576C3D">
      <w:r w:rsidRPr="00576C3D">
        <w:t>Det er ikke forventet vesentlige endringer i den endelige beslutningen i EØS-komiteen. Dersom den endelige beslutningen likevel skulle avvike vesentlig fra utkastet som er vedlagt proposisjonen, vil saken bli forelagt Stortinget på nytt. Utkastet er omtalt i proposisjonens punkt 6 og er vedlagt proposisjonen.</w:t>
      </w:r>
    </w:p>
    <w:p w14:paraId="793C7849" w14:textId="77777777" w:rsidR="005D314E" w:rsidRPr="00576C3D" w:rsidRDefault="005D314E" w:rsidP="00576C3D">
      <w:r w:rsidRPr="00576C3D">
        <w:t>Vedlagt proposisjonen følger også et utkast til en EØS-komitébeslutning om innlemmelse i EØS-avtalen om tilgang til og finansiering av IT-tekniske systemer nødvendig for forvaltningen av CBAM. Det legges opp til at utkastet skal sendes til behandling i EUs organer samtidig som EØS-komitébeslutningen om CBAM-forordningen og endringsforordningen om forenklinger. Det bes derfor om Stortingets forhåndsamtykke til deltakelse også for denne beslutningen. Departementet vurderer at utkastet gir tilstrekkelig beslutningsgrunnlag for Stortinget slik det foreligger, selv om tekniske justeringer gjenstår. Dersom den endelige beslutningen skulle avvike vesentlig fra utkastet som er vedlagt proposisjonen, vil saken bli forelagt Stortinget på nytt. Utkastet er omtalt i proposisjonens punkt 7.</w:t>
      </w:r>
    </w:p>
    <w:p w14:paraId="1FDF740B" w14:textId="77777777" w:rsidR="005D314E" w:rsidRPr="00576C3D" w:rsidRDefault="005D314E" w:rsidP="00576C3D">
      <w:r w:rsidRPr="00576C3D">
        <w:t xml:space="preserve">Proposisjonen er inndelt i ni punkter. I punkt 2 redegjør departementet for bakgrunnen for lovforslaget og gir en oversikt over innholdet i CBAM-forordningen. Her omtales også høringsinnspill. Punkt 3 omtaler rettsområder som må ses i sammenheng med CBAM, mens punkt 4 beskriver hvordan CBAM gjennomføres i de nordiske landene. Punkt 5 presenterer de foreslåtte bestemmelsene i CBAM-loven. Punkt 6 gjelder anmodningen om Stortingets samtykke til deltakelse i en EØS-komitébeslutning om innlemmelse av CBAM-forordningen og endringsforordningen om forenklinger i EØS-avtalen, og inneholder en beskrivelse av utkastet til EØS-komitébeslutning. Punkt 7 gjelder anmodningen om Stortingets samtykke til deltakelse i en EØS-komitébeslutning om innlemmelse i EØS-avtalen om tilgang til og finansiering av IT-tekniske systemer nødvendig til forvaltningen av CBAM. Punkt 8 drøfter de økonomiske og administrative konsekvensene av lovforslaget og EØS-komitébeslutningene, mens punkt 9 gir </w:t>
      </w:r>
      <w:proofErr w:type="spellStart"/>
      <w:r w:rsidRPr="00576C3D">
        <w:t>spesialmerkander</w:t>
      </w:r>
      <w:proofErr w:type="spellEnd"/>
      <w:r w:rsidRPr="00576C3D">
        <w:t xml:space="preserve"> til de enkelte lovbestemmelsene. I vedtaksdelen følger forslaget til CBAM-lov og forslaget til samtykke til deltakelse i EØS-komiteens beslutninger.</w:t>
      </w:r>
    </w:p>
    <w:p w14:paraId="5A7396A5" w14:textId="77777777" w:rsidR="005D314E" w:rsidRPr="00576C3D" w:rsidRDefault="005D314E" w:rsidP="00576C3D">
      <w:r w:rsidRPr="00576C3D">
        <w:t>Vedlagt proposisjonen følger en uoffisiell norsk oversettelse av CBAM-forordningen og endringsforordningen om forenklinger, samt utkast til EØS-komitébeslutningene om innlemmelse i EØS-avtalen.</w:t>
      </w:r>
    </w:p>
    <w:p w14:paraId="54D66124" w14:textId="77777777" w:rsidR="005D314E" w:rsidRPr="00576C3D" w:rsidRDefault="005D314E" w:rsidP="00576C3D">
      <w:pPr>
        <w:pStyle w:val="Overskrift1"/>
      </w:pPr>
      <w:r w:rsidRPr="00576C3D">
        <w:t>Bakgrunn for lovforslaget</w:t>
      </w:r>
    </w:p>
    <w:p w14:paraId="3F597B18" w14:textId="77777777" w:rsidR="005D314E" w:rsidRPr="00576C3D" w:rsidRDefault="005D314E" w:rsidP="00576C3D">
      <w:pPr>
        <w:pStyle w:val="Overskrift2"/>
      </w:pPr>
      <w:r w:rsidRPr="00576C3D">
        <w:t>Innledning</w:t>
      </w:r>
    </w:p>
    <w:p w14:paraId="66D41977" w14:textId="77777777" w:rsidR="005D314E" w:rsidRPr="00576C3D" w:rsidRDefault="005D314E" w:rsidP="00576C3D">
      <w:r w:rsidRPr="00576C3D">
        <w:t xml:space="preserve">CBAM-forordningen ble vedtatt i EU 10. mai 2023, publisert i EU-tidende 16. mai 2023 og fikk full </w:t>
      </w:r>
      <w:proofErr w:type="gramStart"/>
      <w:r w:rsidRPr="00576C3D">
        <w:t>anvendelse</w:t>
      </w:r>
      <w:proofErr w:type="gramEnd"/>
      <w:r w:rsidRPr="00576C3D">
        <w:t xml:space="preserve"> i EU fra 1. januar 2026. Høsten 2025 ble forordningen endret. Forordning (EU) 2025/2083, endringsforordningen om forenklinger inneholder blant annet tiltak for bedre etterlevelse og tiltak som skal effektivisere CBAM gjennom en forenklet rapportering. Blant endringene er et unntak for aktører som importerer 50 tonn eller mindre CBAM-varer per år. Unntaket gjelder likevel ikke import av elektrisitet eller hydrogen. Det er CBAM-forordningen med disse endringene som omtales i dette punktet i proposisjonen. </w:t>
      </w:r>
    </w:p>
    <w:p w14:paraId="71E1CA96" w14:textId="77777777" w:rsidR="005D314E" w:rsidRPr="00576C3D" w:rsidRDefault="005D314E" w:rsidP="00576C3D">
      <w:r w:rsidRPr="00576C3D">
        <w:t>Høsten 2024 varslet Regjeringen at det arbeides med å innføre CBAM i Norge, og i mars 2025 ble det presisert at målsetningen er innføring fra 2027. Innlemmelse av CBAM-forordningen i EØS-avtalen krever vedtakelse av en ny lov og forutsetter Stortingets samtykke. Det fremmes derfor en kombinert lov- og samtykkeproposisjon.</w:t>
      </w:r>
    </w:p>
    <w:p w14:paraId="7E25CCF5" w14:textId="07187CEA" w:rsidR="005D314E" w:rsidRPr="00576C3D" w:rsidRDefault="005D314E" w:rsidP="00576C3D">
      <w:r w:rsidRPr="00576C3D">
        <w:t xml:space="preserve">17. desember 2025 publiserte EU-kommisjonen (heretter «Kommisjonen») et nytt forslag til endringer i CBAM-forordningen. Forslaget utvider virkeområdet til også å omfatte </w:t>
      </w:r>
      <w:proofErr w:type="spellStart"/>
      <w:r w:rsidRPr="00576C3D">
        <w:t>nedstrømsprodukter</w:t>
      </w:r>
      <w:proofErr w:type="spellEnd"/>
      <w:r w:rsidRPr="00576C3D">
        <w:t>, gir nye tiltak mot omgåelse, og endrer reglene for beregning av klimagassutslipp fra produksjon av elektrisitet for</w:t>
      </w:r>
      <w:r w:rsidR="00576C3D">
        <w:t xml:space="preserve"> </w:t>
      </w:r>
      <w:r w:rsidRPr="00576C3D">
        <w:t>å gi insentiver til avkarbonisering av importert elektrisitet. I tillegg til endringsforslaget har Kommisjonen lagt frem forslag til ny forordning om et midlertidig avkarboniseringsfond. Fondet skal støtte EU-produsenter som fortsatt er utsatt for karbonlekkasje, særlig de som eksporterer CBAM-varer ut av EØS. Forslagene er ikke vedtatt i EU og omtales derfor ikke nærmere i proposisjonen.</w:t>
      </w:r>
    </w:p>
    <w:p w14:paraId="0B34C593" w14:textId="77777777" w:rsidR="005D314E" w:rsidRPr="00576C3D" w:rsidRDefault="005D314E" w:rsidP="00576C3D">
      <w:r w:rsidRPr="00576C3D">
        <w:t>CBAM er et nytt virkemiddel i skjæringspunktet mellom klimapolitikk, nærings- og konkurransepolitikk og handelspolitikk, og er en del av en større pakke med klimaregelverk under EUs grønne giv (Klar for 55-pakken) som skal bidra til å oppfylle EUs mål om 55 pst. utslippskutt innen 2030 sammenlignet med 1990. Når begrepet «CBAM» benyttes videre i proposisjonen skal det forstås som en henvisning til selve virkemiddelet og ikke til forordningen som sådan.</w:t>
      </w:r>
    </w:p>
    <w:p w14:paraId="028C418B" w14:textId="77777777" w:rsidR="005D314E" w:rsidRPr="00576C3D" w:rsidRDefault="005D314E" w:rsidP="00576C3D">
      <w:r w:rsidRPr="00576C3D">
        <w:t>Formålet med CBAM er å motvirke karbonlekkasje. CBAM skal samtidig motivere tredjeland til å innføre karbonprising på samme nivå som kvoteprisen i EUs klimakvotesystemet. Mekanismen skal sikre at importerte varer ilegges en karbonkostnad tilsvarende kvoteprisen i klimakvotesystemet, justert for eventuell karbonpris betalt i produksjonslandet. På den måten konkurrerer europeiske og utenlandske produsenter på like vilkår i EØS. CBAM skal over tid erstatte dagens ordning med vederlagsfri tildeling av klimakvoter til karbonutsatte industrier som er omfattet av klimakvotesystemet. Se nærmere omtale av vederlagsfri tildeling av klimakvoter i proposisjonens punkt 3.2.</w:t>
      </w:r>
    </w:p>
    <w:p w14:paraId="59BB1A41" w14:textId="77777777" w:rsidR="005D314E" w:rsidRPr="00576C3D" w:rsidRDefault="005D314E" w:rsidP="00576C3D">
      <w:r w:rsidRPr="00576C3D">
        <w:t>CBAM gjelder for import av utvalgte varer til EØS (heretter «CBAM-varer») med høyt karboninnhold fra sektorene sement, jern og stål, aluminium, gjødsel, hydrogen og elektrisitet. For at aktører skal kunne importere visse mengder av nevnte varer må de søke om autorisasjon som CBAM-</w:t>
      </w:r>
      <w:proofErr w:type="spellStart"/>
      <w:r w:rsidRPr="00576C3D">
        <w:t>deklarant</w:t>
      </w:r>
      <w:proofErr w:type="spellEnd"/>
      <w:r w:rsidRPr="00576C3D">
        <w:t xml:space="preserve"> hos «ansvarlig myndighet». Godkjente CBAM-</w:t>
      </w:r>
      <w:proofErr w:type="spellStart"/>
      <w:r w:rsidRPr="00576C3D">
        <w:t>deklaranter</w:t>
      </w:r>
      <w:proofErr w:type="spellEnd"/>
      <w:r w:rsidRPr="00576C3D">
        <w:t xml:space="preserve"> må deretter beregne og rapportere klimagassutslippene i varene som de importerer, og levere inn CBAM-sertifikater tilsvarende disse utslippene. For jern og stål, aluminium, hydrogen og elektrisitet skal de direkte utslippene beregnes, det vil si utslippene fra produksjonsprosessen på et anlegg i et tredjeland. For sement og gjødsel skal også indirekte utslipp inkluderes, det vil si utslipp fra produksjon av elektrisitet benyttet til produksjon av varen.</w:t>
      </w:r>
    </w:p>
    <w:p w14:paraId="79EB289F" w14:textId="77777777" w:rsidR="005D314E" w:rsidRPr="00576C3D" w:rsidRDefault="005D314E" w:rsidP="00576C3D">
      <w:r w:rsidRPr="00576C3D">
        <w:t>Kommisjonen og ansvarlig myndighet skal kontrollere om CBAM-</w:t>
      </w:r>
      <w:proofErr w:type="spellStart"/>
      <w:r w:rsidRPr="00576C3D">
        <w:t>deklarantene</w:t>
      </w:r>
      <w:proofErr w:type="spellEnd"/>
      <w:r w:rsidRPr="00576C3D">
        <w:t xml:space="preserve"> leverer tilstrekkelig antall CBAM-sertifikater. Tollmyndigheten får også oppgaver i forordningen, og skal fortløpende rapportere importdata til Kommisjonen.</w:t>
      </w:r>
    </w:p>
    <w:p w14:paraId="4D825A04" w14:textId="77777777" w:rsidR="005D314E" w:rsidRPr="00576C3D" w:rsidRDefault="005D314E" w:rsidP="00576C3D">
      <w:r w:rsidRPr="00576C3D">
        <w:t>I punkt 2.2 følger en beskrivelse av CBAM-forordningen.</w:t>
      </w:r>
    </w:p>
    <w:p w14:paraId="1CC427D8" w14:textId="77777777" w:rsidR="005D314E" w:rsidRPr="00576C3D" w:rsidRDefault="005D314E" w:rsidP="00576C3D">
      <w:pPr>
        <w:pStyle w:val="Overskrift2"/>
      </w:pPr>
      <w:r w:rsidRPr="00576C3D">
        <w:t>Forordning (EU) 2023/956 (CBAM-forordningen) og forordning (EU) 2025/2083 (endringer i CBAM-forordning)</w:t>
      </w:r>
    </w:p>
    <w:p w14:paraId="2C393B86" w14:textId="77777777" w:rsidR="005D314E" w:rsidRPr="00576C3D" w:rsidRDefault="005D314E" w:rsidP="00576C3D">
      <w:pPr>
        <w:pStyle w:val="Overskrift3"/>
      </w:pPr>
      <w:r w:rsidRPr="00576C3D">
        <w:t>Virkeområde</w:t>
      </w:r>
    </w:p>
    <w:p w14:paraId="2AAD440B" w14:textId="77777777" w:rsidR="005D314E" w:rsidRPr="00576C3D" w:rsidRDefault="005D314E" w:rsidP="00576C3D">
      <w:r w:rsidRPr="00576C3D">
        <w:t xml:space="preserve">CBAM-forordningens virkeområde </w:t>
      </w:r>
      <w:proofErr w:type="gramStart"/>
      <w:r w:rsidRPr="00576C3D">
        <w:t>fremgår</w:t>
      </w:r>
      <w:proofErr w:type="gramEnd"/>
      <w:r w:rsidRPr="00576C3D">
        <w:t xml:space="preserve"> av artikkel 2, og gjelder når CBAM-varer med opprinnelse i tredjeland importeres til EUs tollområde. Import foreligger når en CBAM-vare underlegges tollprosedyren «</w:t>
      </w:r>
      <w:proofErr w:type="spellStart"/>
      <w:r w:rsidRPr="00576C3D">
        <w:t>release</w:t>
      </w:r>
      <w:proofErr w:type="spellEnd"/>
      <w:r w:rsidRPr="00576C3D">
        <w:t xml:space="preserve"> for </w:t>
      </w:r>
      <w:proofErr w:type="spellStart"/>
      <w:r w:rsidRPr="00576C3D">
        <w:t>free</w:t>
      </w:r>
      <w:proofErr w:type="spellEnd"/>
      <w:r w:rsidRPr="00576C3D">
        <w:t xml:space="preserve"> </w:t>
      </w:r>
      <w:proofErr w:type="spellStart"/>
      <w:r w:rsidRPr="00576C3D">
        <w:t>circulation</w:t>
      </w:r>
      <w:proofErr w:type="spellEnd"/>
      <w:r w:rsidRPr="00576C3D">
        <w:t>» under forordning (EU) 952/2013 om EUs tollkodeks, heretter («UCC»), jf. artikkel 3 nr. 4. Når varen underlegges denne tollprosedyren betyr det at varen kan disponeres fritt i EUs tollområde, noe som betyr at varen tas i bruk eller omsettes i markedet.</w:t>
      </w:r>
    </w:p>
    <w:p w14:paraId="541834F5" w14:textId="77777777" w:rsidR="005D314E" w:rsidRPr="00576C3D" w:rsidRDefault="005D314E" w:rsidP="00576C3D">
      <w:r w:rsidRPr="00576C3D">
        <w:t>CBAM-forordningen gjelder også for CBAM-varer med opprinnelse i tredjeland som blir bragt til kunstige øyer eller innretninger og anlegg i en medlemsstats eksklusive økonomiske sone eller kontinentalsokkel, når denne er tilstøtende til EUs tollområde. Kommisjonen vedtok i oktober 2025 gjennomføringsforordning (EU) 2025/2210 med særlige bestemmelser om hvordan CBAM-forordningen kommer til anvendelse i disse områdene. Se nærmere omtale av denne gjennomføringsforordningen i punkt 5.5.3.3.</w:t>
      </w:r>
    </w:p>
    <w:p w14:paraId="3FB48879" w14:textId="77777777" w:rsidR="005D314E" w:rsidRPr="00576C3D" w:rsidRDefault="005D314E" w:rsidP="00576C3D">
      <w:r w:rsidRPr="00576C3D">
        <w:t>CBAM-forordningen gjelder også ved import av bearbeidede produkter som er fremstilt av CBAM-varer som har vært underlagt tollprosedyren «</w:t>
      </w:r>
      <w:proofErr w:type="spellStart"/>
      <w:r w:rsidRPr="00576C3D">
        <w:t>inward</w:t>
      </w:r>
      <w:proofErr w:type="spellEnd"/>
      <w:r w:rsidRPr="00576C3D">
        <w:t xml:space="preserve"> </w:t>
      </w:r>
      <w:proofErr w:type="spellStart"/>
      <w:r w:rsidRPr="00576C3D">
        <w:t>processing</w:t>
      </w:r>
      <w:proofErr w:type="spellEnd"/>
      <w:r w:rsidRPr="00576C3D">
        <w:t>» under UCC, jf. artikkel 2 nr. 1. Dette omfatter tilfeller hvor CBAM-varer (for eksempel aluminium) har blitt bearbeidet til et produkt som ikke omfattes av CBAM (for eksempel en bildør).</w:t>
      </w:r>
    </w:p>
    <w:p w14:paraId="0BE47243" w14:textId="77777777" w:rsidR="005D314E" w:rsidRPr="00576C3D" w:rsidRDefault="005D314E" w:rsidP="00576C3D">
      <w:r w:rsidRPr="00576C3D">
        <w:t>For å avgjøre om en vare har opprinnelse i et tredjeland brukes reglene om ikke-</w:t>
      </w:r>
      <w:proofErr w:type="spellStart"/>
      <w:r w:rsidRPr="00576C3D">
        <w:t>preferensiell</w:t>
      </w:r>
      <w:proofErr w:type="spellEnd"/>
      <w:r w:rsidRPr="00576C3D">
        <w:t xml:space="preserve"> opprinnelse i UCC. En vare får opprinnelse i et land eller territorium dersom den er fullt ut fremstilt der. Dersom bearbeidingen har involvert flere land, får en vare opprinnelse i det landet eller territoriet hvor den siste vesentlige og økonomisk begrunnede bearbeidingen har skjedd. CBAM-forordningen gjelder ikke for varer med opprinnelse i tredjeland og territorier som er oppført i vedlegg III punkt 1. Dette inkluderer EFTA-landene (Island, Liechtenstein, Norge og Sveits), samt enkelte europeiske territorier som ikke er en del av EUs tollunion (</w:t>
      </w:r>
      <w:proofErr w:type="spellStart"/>
      <w:r w:rsidRPr="00576C3D">
        <w:t>Büsingen</w:t>
      </w:r>
      <w:proofErr w:type="spellEnd"/>
      <w:r w:rsidRPr="00576C3D">
        <w:t xml:space="preserve">, Helgoland, </w:t>
      </w:r>
      <w:proofErr w:type="spellStart"/>
      <w:r w:rsidRPr="00576C3D">
        <w:t>Livigno</w:t>
      </w:r>
      <w:proofErr w:type="spellEnd"/>
      <w:r w:rsidRPr="00576C3D">
        <w:t xml:space="preserve">, Ceuta og </w:t>
      </w:r>
      <w:proofErr w:type="spellStart"/>
      <w:r w:rsidRPr="00576C3D">
        <w:t>Melilla</w:t>
      </w:r>
      <w:proofErr w:type="spellEnd"/>
      <w:r w:rsidRPr="00576C3D">
        <w:t>).</w:t>
      </w:r>
    </w:p>
    <w:p w14:paraId="560021D2" w14:textId="77777777" w:rsidR="005D314E" w:rsidRPr="00576C3D" w:rsidRDefault="005D314E" w:rsidP="00576C3D">
      <w:r w:rsidRPr="00576C3D">
        <w:t>For at et tredjeland eller territorium skal bli oppført i vedlegg III punkt 1, må to vilkår være oppfylt. Landet må enten være direkte tilknyttet EUs klimakvotesystem, eller ha et nasjonalt eller regionalt system som er koblet til dette klimakvotesystemet. I tillegg må karbonprisen i tredjelandet eller territoriet være innkrevd for utslippene som omfattes av CBAM-forordningen, uten rabatter eller fratrekk.</w:t>
      </w:r>
    </w:p>
    <w:p w14:paraId="5E1E58F1" w14:textId="77777777" w:rsidR="005D314E" w:rsidRPr="00576C3D" w:rsidRDefault="005D314E" w:rsidP="00576C3D">
      <w:r w:rsidRPr="00576C3D">
        <w:t xml:space="preserve">Det er også et særegent unntak fra CBAM-forordningen for import av elektrisitet fra andre tredjeland og territorier som </w:t>
      </w:r>
      <w:proofErr w:type="gramStart"/>
      <w:r w:rsidRPr="00576C3D">
        <w:t>fremgår</w:t>
      </w:r>
      <w:proofErr w:type="gramEnd"/>
      <w:r w:rsidRPr="00576C3D">
        <w:t xml:space="preserve"> av punkt 2 i vedlegg III. Det er flere vilkår som må være oppfylt for at dette unntaket skal komme til anvendelse, jf. artikkel 2 nr. 7.</w:t>
      </w:r>
    </w:p>
    <w:p w14:paraId="4D4705B8" w14:textId="77777777" w:rsidR="005D314E" w:rsidRPr="00576C3D" w:rsidRDefault="005D314E" w:rsidP="00576C3D">
      <w:pPr>
        <w:pStyle w:val="Overskrift3"/>
      </w:pPr>
      <w:r w:rsidRPr="00576C3D">
        <w:t>Vareomfang</w:t>
      </w:r>
    </w:p>
    <w:p w14:paraId="38B33A76" w14:textId="77777777" w:rsidR="005D314E" w:rsidRPr="00576C3D" w:rsidRDefault="005D314E" w:rsidP="00576C3D">
      <w:r w:rsidRPr="00576C3D">
        <w:t>CBAM-forordningen gjelder for import av utvalgte varer i sektorene sement, jern og stål, aluminium, gjødsel, hydrogen og elektrisitet. Forordningen gjelder for varer som er oppført i tabellen i vedlegg I og angitt ved bruk av EUs koder i den kombinerte nomenklaturen, CN-koder, jf. artikkel 2 nr. 1. CN-koder er EUs system for klassifisering av varer og brukes ved inn- og utførsel av varer.</w:t>
      </w:r>
    </w:p>
    <w:p w14:paraId="4ED699CE" w14:textId="77777777" w:rsidR="005D314E" w:rsidRPr="00576C3D" w:rsidRDefault="005D314E" w:rsidP="00576C3D">
      <w:r w:rsidRPr="00576C3D">
        <w:t>Det gjelder et unntak for elektrisitet som er produsert på kontinentalsokkelen eller i den eksklusive økonomiske sonen til en medlemsstat eller til et land eller territorium oppført i vedlegg III punkt 1 og 2. Tilsvarende gjelder det et unntak for hydrogen med opprinnelse på kontinentalsokkelen eller i den eksklusive økonomiske sonen til en medlemsstat eller til et land eller territorium oppført i vedlegg III punkt 1.</w:t>
      </w:r>
    </w:p>
    <w:p w14:paraId="19D764FB" w14:textId="77777777" w:rsidR="005D314E" w:rsidRPr="00576C3D" w:rsidRDefault="005D314E" w:rsidP="00576C3D">
      <w:pPr>
        <w:pStyle w:val="Overskrift3"/>
      </w:pPr>
      <w:r w:rsidRPr="00576C3D">
        <w:t>Pliktsubjekt</w:t>
      </w:r>
    </w:p>
    <w:p w14:paraId="7749AF4C" w14:textId="77777777" w:rsidR="005D314E" w:rsidRPr="00576C3D" w:rsidRDefault="005D314E" w:rsidP="00576C3D">
      <w:r w:rsidRPr="00576C3D">
        <w:t>En importør er i artikkel 3 nr. 15 definert som den som leverer en tolldeklarasjon for tollprosedyren «</w:t>
      </w:r>
      <w:proofErr w:type="spellStart"/>
      <w:r w:rsidRPr="00576C3D">
        <w:t>release</w:t>
      </w:r>
      <w:proofErr w:type="spellEnd"/>
      <w:r w:rsidRPr="00576C3D">
        <w:t xml:space="preserve"> for </w:t>
      </w:r>
      <w:proofErr w:type="spellStart"/>
      <w:r w:rsidRPr="00576C3D">
        <w:t>free</w:t>
      </w:r>
      <w:proofErr w:type="spellEnd"/>
      <w:r w:rsidRPr="00576C3D">
        <w:t xml:space="preserve"> </w:t>
      </w:r>
      <w:proofErr w:type="spellStart"/>
      <w:r w:rsidRPr="00576C3D">
        <w:t>circulation</w:t>
      </w:r>
      <w:proofErr w:type="spellEnd"/>
      <w:r w:rsidRPr="00576C3D">
        <w:t>» i eget navn, og på egne vegne. Importører må godkjennes som CBAM-</w:t>
      </w:r>
      <w:proofErr w:type="spellStart"/>
      <w:r w:rsidRPr="00576C3D">
        <w:t>deklarant</w:t>
      </w:r>
      <w:proofErr w:type="spellEnd"/>
      <w:r w:rsidRPr="00576C3D">
        <w:t xml:space="preserve"> for å kunne innføre CBAM-varer, jf. artikkel 4. I endringsforordningen om forenklinger ble definisjonen av «importør» endret slik at den også dekker en som leverer inn en «</w:t>
      </w:r>
      <w:proofErr w:type="spellStart"/>
      <w:r w:rsidRPr="00576C3D">
        <w:t>bill</w:t>
      </w:r>
      <w:proofErr w:type="spellEnd"/>
      <w:r w:rsidRPr="00576C3D">
        <w:t xml:space="preserve"> </w:t>
      </w:r>
      <w:proofErr w:type="spellStart"/>
      <w:r w:rsidRPr="00576C3D">
        <w:t>of</w:t>
      </w:r>
      <w:proofErr w:type="spellEnd"/>
      <w:r w:rsidRPr="00576C3D">
        <w:t xml:space="preserve"> discharge» i samsvar med artikkel 175 nr. 5 i delegert forordning (EU) 2015/2446 om utfyllende regler til UCC.</w:t>
      </w:r>
    </w:p>
    <w:p w14:paraId="60D6E6B3" w14:textId="77777777" w:rsidR="005D314E" w:rsidRPr="00576C3D" w:rsidRDefault="005D314E" w:rsidP="00576C3D">
      <w:r w:rsidRPr="00576C3D">
        <w:t>En importør kan også utpeke en indirekte tollrepresentant i henhold til UCC artikkel 18 til å være CBAM-</w:t>
      </w:r>
      <w:proofErr w:type="spellStart"/>
      <w:r w:rsidRPr="00576C3D">
        <w:t>deklarant</w:t>
      </w:r>
      <w:proofErr w:type="spellEnd"/>
      <w:r w:rsidRPr="00576C3D">
        <w:t>, jf. artikkel 5 nr. 1. I så fall er det den indirekte tollrepresentanten som må godkjennes som CBAM-</w:t>
      </w:r>
      <w:proofErr w:type="spellStart"/>
      <w:r w:rsidRPr="00576C3D">
        <w:t>deklarant</w:t>
      </w:r>
      <w:proofErr w:type="spellEnd"/>
      <w:r w:rsidRPr="00576C3D">
        <w:t>. En importør som ikke er etablert i en medlemsstat må benytte en indirekte tollrepresentant som er godkjent som CBAM-</w:t>
      </w:r>
      <w:proofErr w:type="spellStart"/>
      <w:r w:rsidRPr="00576C3D">
        <w:t>deklarant</w:t>
      </w:r>
      <w:proofErr w:type="spellEnd"/>
      <w:r w:rsidRPr="00576C3D">
        <w:t>, jf. artikkel 5 nr. 2.</w:t>
      </w:r>
    </w:p>
    <w:p w14:paraId="2F5D570A" w14:textId="77777777" w:rsidR="005D314E" w:rsidRPr="00576C3D" w:rsidRDefault="005D314E" w:rsidP="00576C3D">
      <w:r w:rsidRPr="00576C3D">
        <w:t>En CBAM-</w:t>
      </w:r>
      <w:proofErr w:type="spellStart"/>
      <w:r w:rsidRPr="00576C3D">
        <w:t>deklarant</w:t>
      </w:r>
      <w:proofErr w:type="spellEnd"/>
      <w:r w:rsidRPr="00576C3D">
        <w:t xml:space="preserve"> skal godkjennes og følges opp administrativt av ansvarlig myndighet i det landet hvor </w:t>
      </w:r>
      <w:proofErr w:type="spellStart"/>
      <w:r w:rsidRPr="00576C3D">
        <w:t>deklaranten</w:t>
      </w:r>
      <w:proofErr w:type="spellEnd"/>
      <w:r w:rsidRPr="00576C3D">
        <w:t xml:space="preserve"> er etablert. For fysiske personer er dette landet hvor personen har fast bosted, mens det for juridiske personer er landet hvor den juridiske personen er etablert, har hovedsete eller fast forretningssted, jf. artikkel 3 nr. 19.</w:t>
      </w:r>
    </w:p>
    <w:p w14:paraId="2AE0F7B2" w14:textId="77777777" w:rsidR="005D314E" w:rsidRPr="00576C3D" w:rsidRDefault="005D314E" w:rsidP="00576C3D">
      <w:r w:rsidRPr="00576C3D">
        <w:t>Endringsforordningen om forenklinger innfører en ny terskelverdi som fastsettes årlig av Kommisjonen slik at forordningen alltid omfatter minst 99 pst. av utslippene fra CBAM-varer som importeres, jf. artikkel 2a. Kommisjonen skal i april hvert år vurdere om terskelen skal justeres fra 1. januar påfølgende år. Vurderingen skal basere seg på importdata for de siste tolv månedene og beregningsreglene i vedlegg VII punkt 2. Den nåværende terskelverdien er satt til 50 tonn, jf. artikkel 2a og vedlegg VII punkt 1. Innføringen av denne terskelen vil redusere antall aktører som omfattes av CBAM-forordningen, samtidig som den administrative byrden for aktørene reduseres uten at miljøformålet svekkes.</w:t>
      </w:r>
    </w:p>
    <w:p w14:paraId="138B3212" w14:textId="77777777" w:rsidR="005D314E" w:rsidRPr="00576C3D" w:rsidRDefault="005D314E" w:rsidP="00576C3D">
      <w:r w:rsidRPr="00576C3D">
        <w:t>Tidligere gjaldt et unntak for varer med egenverdi under 150 euro. Dette unntaket fjernes nå for alle CBAM-varer og erstattes av terskelverdien beskrevet over. Unntaket for varer som skal brukes til militære formål består.</w:t>
      </w:r>
    </w:p>
    <w:p w14:paraId="5E0C9E2D" w14:textId="70366EEC" w:rsidR="005D314E" w:rsidRPr="00576C3D" w:rsidRDefault="005D314E" w:rsidP="00576C3D">
      <w:pPr>
        <w:pStyle w:val="Overskrift3"/>
      </w:pPr>
      <w:r w:rsidRPr="00576C3D">
        <w:t>Forpliktelser ved import av CBAM-varer</w:t>
      </w:r>
    </w:p>
    <w:p w14:paraId="251D02AF" w14:textId="77777777" w:rsidR="005D314E" w:rsidRPr="00576C3D" w:rsidRDefault="005D314E" w:rsidP="00576C3D">
      <w:pPr>
        <w:pStyle w:val="Overskrift4"/>
      </w:pPr>
      <w:r w:rsidRPr="00576C3D">
        <w:t>Autorisasjon som CBAM-</w:t>
      </w:r>
      <w:proofErr w:type="spellStart"/>
      <w:r w:rsidRPr="00576C3D">
        <w:t>deklarant</w:t>
      </w:r>
      <w:proofErr w:type="spellEnd"/>
    </w:p>
    <w:p w14:paraId="64FCC159" w14:textId="77777777" w:rsidR="005D314E" w:rsidRPr="00576C3D" w:rsidRDefault="005D314E" w:rsidP="00576C3D">
      <w:r w:rsidRPr="00576C3D">
        <w:t>Søknad om autorisasjon som CBAM-</w:t>
      </w:r>
      <w:proofErr w:type="spellStart"/>
      <w:r w:rsidRPr="00576C3D">
        <w:t>deklarant</w:t>
      </w:r>
      <w:proofErr w:type="spellEnd"/>
      <w:r w:rsidRPr="00576C3D">
        <w:t>, jf. artikkel 5 og 17, sendes elektronisk via CBAM-registeret. Den skal inneholde sentrale opplysninger om selskapet og dets virksomhet, og hvor mye av de ulike CBAM-varene søkeren har planlagt å importere i inneværende og påfølgende år. CBAM-</w:t>
      </w:r>
      <w:proofErr w:type="spellStart"/>
      <w:r w:rsidRPr="00576C3D">
        <w:t>deklaranten</w:t>
      </w:r>
      <w:proofErr w:type="spellEnd"/>
      <w:r w:rsidRPr="00576C3D">
        <w:t xml:space="preserve"> kan bes om å fremlegge ytterligere opplysninger for å vurdere om vilkårene for autorisasjon er oppfylte på søknadstidspunktet, og om autorisasjonen skal tilbaketrekkes, jf. artikkel 5 og 22 i gjennomføringsforordning (EU) 2025/486 om betingelser og prosesser relatert til autorisering av aktører som importerer CBAM-varer (autoriseringsforordningen).</w:t>
      </w:r>
    </w:p>
    <w:p w14:paraId="4F926200" w14:textId="77777777" w:rsidR="005D314E" w:rsidRPr="00576C3D" w:rsidRDefault="005D314E" w:rsidP="00576C3D">
      <w:r w:rsidRPr="00576C3D">
        <w:t>For å få autorisasjon må virksomheten ha et EORI-nummer (</w:t>
      </w:r>
      <w:proofErr w:type="spellStart"/>
      <w:r w:rsidRPr="00576C3D">
        <w:t>Economic</w:t>
      </w:r>
      <w:proofErr w:type="spellEnd"/>
      <w:r w:rsidRPr="00576C3D">
        <w:t xml:space="preserve"> Operator </w:t>
      </w:r>
      <w:proofErr w:type="spellStart"/>
      <w:r w:rsidRPr="00576C3D">
        <w:t>Registration</w:t>
      </w:r>
      <w:proofErr w:type="spellEnd"/>
      <w:r w:rsidRPr="00576C3D">
        <w:t xml:space="preserve"> and </w:t>
      </w:r>
      <w:proofErr w:type="spellStart"/>
      <w:r w:rsidRPr="00576C3D">
        <w:t>Identification</w:t>
      </w:r>
      <w:proofErr w:type="spellEnd"/>
      <w:r w:rsidRPr="00576C3D">
        <w:t xml:space="preserve"> </w:t>
      </w:r>
      <w:proofErr w:type="spellStart"/>
      <w:r w:rsidRPr="00576C3D">
        <w:t>number</w:t>
      </w:r>
      <w:proofErr w:type="spellEnd"/>
      <w:r w:rsidRPr="00576C3D">
        <w:t xml:space="preserve">), være etablert i søknadslandet, ha tilstrekkelig finansiell og operasjonell kapasitet til å overholde CBAM-forpliktelsene, ikke ha begått alvorlige overtredelser av toll-, skatte-, markedsmisbruksregelverk, CBAM-regelverk eller </w:t>
      </w:r>
      <w:r w:rsidRPr="00576C3D">
        <w:rPr>
          <w:rStyle w:val="regular"/>
        </w:rPr>
        <w:t>begått straffbare forhold knyttet til økonomisk aktivitet de siste fem årene</w:t>
      </w:r>
      <w:r w:rsidRPr="00576C3D">
        <w:t>, jf. artikkel 17 nr. 2. For å vurdere om det sistnevnte vilkåret er oppfylt kan søkeren bes om å fremlegge en politiattest, eller annen lignende dokumentasjon, jf. artikkel 9 nr. 3 i autoriseringsforordningen. EORI-nummer er et unikt identifikasjonsnummer som brukes av tollmyndighetene i EU for å identifisere økonomiske aktørers import og eksport til og fra EU. Selskaper som ikke har vært etablert de to siste regnskapsårene må stille en ubetinget påkravsgaranti fra finansiell institusjon eller annen garanti med tilsvarende sikkerhet for de to første årene som CBAM-</w:t>
      </w:r>
      <w:proofErr w:type="spellStart"/>
      <w:r w:rsidRPr="00576C3D">
        <w:t>deklarant</w:t>
      </w:r>
      <w:proofErr w:type="spellEnd"/>
      <w:r w:rsidRPr="00576C3D">
        <w:t>. Garantibeløpet fastsettes av ansvarlig myndighet basert på verdien av forventede CBAM-sertifikater, jf. artikkel 17 og 22. Unntak fra autorisering gjelder for import av elektrisitet når kapasitet tildeles gjennom eksplisitt allokering, jf. artikkel 5 nr. 4. I slike tilfeller anses den som tildeler og nominerer kapasitet som autorisert CBAM-</w:t>
      </w:r>
      <w:proofErr w:type="spellStart"/>
      <w:r w:rsidRPr="00576C3D">
        <w:t>deklarant</w:t>
      </w:r>
      <w:proofErr w:type="spellEnd"/>
      <w:r w:rsidRPr="00576C3D">
        <w:t xml:space="preserve"> i den medlemsstaten der tolldeklarasjonen skjer.</w:t>
      </w:r>
    </w:p>
    <w:p w14:paraId="3DC67EB4" w14:textId="77777777" w:rsidR="005D314E" w:rsidRPr="00576C3D" w:rsidRDefault="005D314E" w:rsidP="00576C3D">
      <w:r w:rsidRPr="00576C3D">
        <w:t>CBAM-registeret brukes også til å registrere vedtak om godkjenning som CBAM-</w:t>
      </w:r>
      <w:proofErr w:type="spellStart"/>
      <w:r w:rsidRPr="00576C3D">
        <w:t>deklarant</w:t>
      </w:r>
      <w:proofErr w:type="spellEnd"/>
      <w:r w:rsidRPr="00576C3D">
        <w:t xml:space="preserve"> og kommunikasjon med Kommisjonen og andre ansvarlige myndigheter. Autorisasjonen trer i kraft når avgjørelsen er registrert, og eventuelt når garanti er registrert. Ved godkjenning oppretter Kommisjonen automatisk en konto i CBAM-registeret med </w:t>
      </w:r>
      <w:proofErr w:type="spellStart"/>
      <w:r w:rsidRPr="00576C3D">
        <w:t>deklarantens</w:t>
      </w:r>
      <w:proofErr w:type="spellEnd"/>
      <w:r w:rsidRPr="00576C3D">
        <w:t xml:space="preserve"> opplysninger og informasjon om CBAM-sertifikater, jf. artikkel 14 og 16.</w:t>
      </w:r>
    </w:p>
    <w:p w14:paraId="02F79E07" w14:textId="77777777" w:rsidR="005D314E" w:rsidRPr="00576C3D" w:rsidRDefault="005D314E" w:rsidP="00576C3D">
      <w:r w:rsidRPr="00576C3D">
        <w:t xml:space="preserve">Ansvarlig myndighet kan konsultere Kommisjonen og andre ansvarlige myndigheter i medlemsstater ved søknadsbehandling, jf. artikkel 17, og skal regelmessig vurdere om vilkårene fortsatt er oppfylt. Ved endringer varsles </w:t>
      </w:r>
      <w:proofErr w:type="spellStart"/>
      <w:r w:rsidRPr="00576C3D">
        <w:t>deklaranten</w:t>
      </w:r>
      <w:proofErr w:type="spellEnd"/>
      <w:r w:rsidRPr="00576C3D">
        <w:t xml:space="preserve"> og gis 30 dager til uttalelse. Dersom vilkårene ikke lenger er oppfylt, iverksettes tilbakekallingsprosedyre i samsvar med artikkel 17 nr. 8.</w:t>
      </w:r>
    </w:p>
    <w:p w14:paraId="707635D3" w14:textId="77777777" w:rsidR="005D314E" w:rsidRPr="00576C3D" w:rsidRDefault="005D314E" w:rsidP="00576C3D">
      <w:pPr>
        <w:pStyle w:val="Overskrift4"/>
      </w:pPr>
      <w:r w:rsidRPr="00576C3D">
        <w:t>Levere CBAM-erklæringer</w:t>
      </w:r>
    </w:p>
    <w:p w14:paraId="01FBE435" w14:textId="77777777" w:rsidR="005D314E" w:rsidRPr="00576C3D" w:rsidRDefault="005D314E" w:rsidP="00576C3D">
      <w:r w:rsidRPr="00576C3D">
        <w:t>CBAM-</w:t>
      </w:r>
      <w:proofErr w:type="spellStart"/>
      <w:r w:rsidRPr="00576C3D">
        <w:t>deklaranten</w:t>
      </w:r>
      <w:proofErr w:type="spellEnd"/>
      <w:r w:rsidRPr="00576C3D">
        <w:t xml:space="preserve"> skal hvert år levere en CBAM-erklæring i CBAM-registeret for foregående kalenderår, jf. artikkel 6. Fristen er 30. september. Erklæringen dokumenterer at CBAM-</w:t>
      </w:r>
      <w:proofErr w:type="spellStart"/>
      <w:r w:rsidRPr="00576C3D">
        <w:t>deklaranten</w:t>
      </w:r>
      <w:proofErr w:type="spellEnd"/>
      <w:r w:rsidRPr="00576C3D">
        <w:t xml:space="preserve"> har oppfylt plikten til å levere CBAM-sertifikater som svarer til utslippene fra importerte varer.</w:t>
      </w:r>
    </w:p>
    <w:p w14:paraId="376E75BC" w14:textId="77777777" w:rsidR="005D314E" w:rsidRPr="00576C3D" w:rsidRDefault="005D314E" w:rsidP="00576C3D">
      <w:r w:rsidRPr="00576C3D">
        <w:t xml:space="preserve">Erklæringen skal inneholde opplysninger om samlet mengde av importerte CBAM-varer og utslipp fra produksjonen av disse varene. Erklæringen skal også vise antall CBAM-sertifikater som aktøren plikter å levere inn, eventuelt beregnet fratrekk for dokumentert betalt karbonpris i tredjeland og beregnet fratrekk som følge av tildeling under EUs klimakvotesystem, jf. gjennomføringsforordning (EU) 2025/2620 om beregning av justering for vederlagsfri tildeling i EUs klimakvotesystem, jf. punkt 5.5.3.10. Dersom utslipp fra produksjonen er basert på faktiske utslipp i anlegget i tredjeland og disse ikke er hentet fra CBAM-registeret, skal kopi av verifikasjonsrapport utstedt av en akkreditert </w:t>
      </w:r>
      <w:proofErr w:type="spellStart"/>
      <w:r w:rsidRPr="00576C3D">
        <w:t>verifikatør</w:t>
      </w:r>
      <w:proofErr w:type="spellEnd"/>
      <w:r w:rsidRPr="00576C3D">
        <w:t xml:space="preserve"> følge med CBAM-erklæringen, jf. artikkel 6 nr. 3.</w:t>
      </w:r>
    </w:p>
    <w:p w14:paraId="23A774C8" w14:textId="77777777" w:rsidR="005D314E" w:rsidRPr="00576C3D" w:rsidRDefault="005D314E" w:rsidP="00576C3D">
      <w:r w:rsidRPr="00576C3D">
        <w:t>CBAM-</w:t>
      </w:r>
      <w:proofErr w:type="spellStart"/>
      <w:r w:rsidRPr="00576C3D">
        <w:t>deklaranten</w:t>
      </w:r>
      <w:proofErr w:type="spellEnd"/>
      <w:r w:rsidRPr="00576C3D">
        <w:t xml:space="preserve"> kan kreve en reduksjon av antallet CBAM-sertifikater som skal leveres, dersom det er betalt en karbonpris i produksjonslandet, jf. artikkel 9. Dette må dokumenteres og attesteres av en person som er uavhengig av CBAM-</w:t>
      </w:r>
      <w:proofErr w:type="spellStart"/>
      <w:r w:rsidRPr="00576C3D">
        <w:t>deklaranten</w:t>
      </w:r>
      <w:proofErr w:type="spellEnd"/>
      <w:r w:rsidRPr="00576C3D">
        <w:t xml:space="preserve"> og av myndighetene i produksjonslandet. Dokumentasjonen skal oppbevares i fire år. Fra 2027 kan Kommisjonen publisere standard karbonpriser for produksjonsland, og reduksjon kan da baseres på disse dersom utslippene er beregnet med standardfaktorer.</w:t>
      </w:r>
    </w:p>
    <w:p w14:paraId="6A37F212" w14:textId="77777777" w:rsidR="005D314E" w:rsidRPr="00576C3D" w:rsidRDefault="005D314E" w:rsidP="00576C3D">
      <w:pPr>
        <w:pStyle w:val="Overskrift4"/>
      </w:pPr>
      <w:r w:rsidRPr="00576C3D">
        <w:t>Oppgjør av CBAM-forpliktelsen</w:t>
      </w:r>
    </w:p>
    <w:p w14:paraId="7F4E9F6F" w14:textId="77777777" w:rsidR="005D314E" w:rsidRPr="00576C3D" w:rsidRDefault="005D314E" w:rsidP="00576C3D">
      <w:r w:rsidRPr="00576C3D">
        <w:t>Samtidig med innlevering av CBAM-erklæringen 30. september, skal CBAM-</w:t>
      </w:r>
      <w:proofErr w:type="spellStart"/>
      <w:r w:rsidRPr="00576C3D">
        <w:t>deklaranten</w:t>
      </w:r>
      <w:proofErr w:type="spellEnd"/>
      <w:r w:rsidRPr="00576C3D">
        <w:t xml:space="preserve"> levere tilstrekkelig antall sertifikater i CBAM-registeret. Innlevering skjer ved at et tilstrekkelig antall CBAM-sertifikater er tilgjengelig på CBAM-</w:t>
      </w:r>
      <w:proofErr w:type="spellStart"/>
      <w:r w:rsidRPr="00576C3D">
        <w:t>deklarantens</w:t>
      </w:r>
      <w:proofErr w:type="spellEnd"/>
      <w:r w:rsidRPr="00576C3D">
        <w:t xml:space="preserve"> konto i CBAM-registeret.</w:t>
      </w:r>
    </w:p>
    <w:p w14:paraId="0647720B" w14:textId="77777777" w:rsidR="005D314E" w:rsidRPr="00576C3D" w:rsidRDefault="005D314E" w:rsidP="00576C3D">
      <w:r w:rsidRPr="00576C3D">
        <w:t>Sertifikatene skal tilsvare utslippene fra produksjonen i tredjeland, fratrukket eventuell betalt karbonpris i tredjeland og fratrekk som følge av justering for vederlagsfri tildeling i EUs klimakvotesystem etter reglene i gjennomføringsforordning (EU) 2025/2620, jf. artikkel 22 og 31. Fratrekk som følge av tildeling i klimakvotesystemet fører til at CBAM-forpliktelsen fases gradvis inn fram til full oppgjørsforpliktelse under CBAM i 2034. Medlemsstater skal selge CBAM-sertifikater på salgsplattformen («</w:t>
      </w:r>
      <w:proofErr w:type="spellStart"/>
      <w:r w:rsidRPr="00576C3D">
        <w:t>Common</w:t>
      </w:r>
      <w:proofErr w:type="spellEnd"/>
      <w:r w:rsidRPr="00576C3D">
        <w:t xml:space="preserve"> Central Platform»). Kommisjonen fjerner innleverte sertifikater fra CBAM-registeret etter at de har blitt brukt i et oppgjør.</w:t>
      </w:r>
    </w:p>
    <w:p w14:paraId="7DEEC844" w14:textId="77777777" w:rsidR="005D314E" w:rsidRPr="00576C3D" w:rsidRDefault="005D314E" w:rsidP="00576C3D">
      <w:r w:rsidRPr="00576C3D">
        <w:t>CBAM-</w:t>
      </w:r>
      <w:proofErr w:type="spellStart"/>
      <w:r w:rsidRPr="00576C3D">
        <w:t>deklaranten</w:t>
      </w:r>
      <w:proofErr w:type="spellEnd"/>
      <w:r w:rsidRPr="00576C3D">
        <w:t xml:space="preserve"> plikter også, innen utløpet av hvert kvartal, å ha CBAM-sertifikater tilsvarende minst 50 pst. av utslippene fra importen av CBAM-varer på sin konto i CBAM-registeret, </w:t>
      </w:r>
      <w:proofErr w:type="spellStart"/>
      <w:r w:rsidRPr="00576C3D">
        <w:t>jf</w:t>
      </w:r>
      <w:proofErr w:type="spellEnd"/>
      <w:r w:rsidRPr="00576C3D">
        <w:t xml:space="preserve"> artikkel 22.</w:t>
      </w:r>
    </w:p>
    <w:p w14:paraId="4C85C25A" w14:textId="77777777" w:rsidR="005D314E" w:rsidRPr="00576C3D" w:rsidRDefault="005D314E" w:rsidP="00576C3D">
      <w:r w:rsidRPr="00576C3D">
        <w:t>CBAM-forordningen artikkel 6 nr. 3 til 5 angir hvilke utslipp fra produksjonen i tredjeland som skal rapporteres når varene har vært underlagt ulike tollprosedyrer. Gjennomføringsforordningen gir her særregler for å sikre at sertifikater kun leveres for utslipp i tredjeland.</w:t>
      </w:r>
    </w:p>
    <w:p w14:paraId="427DD508" w14:textId="77777777" w:rsidR="005D314E" w:rsidRPr="00576C3D" w:rsidRDefault="005D314E" w:rsidP="00576C3D">
      <w:r w:rsidRPr="00576C3D">
        <w:t>Dersom bearbeidede produkter, som er resultat av prosedyren «</w:t>
      </w:r>
      <w:proofErr w:type="spellStart"/>
      <w:r w:rsidRPr="00576C3D">
        <w:t>inward</w:t>
      </w:r>
      <w:proofErr w:type="spellEnd"/>
      <w:r w:rsidRPr="00576C3D">
        <w:t xml:space="preserve"> </w:t>
      </w:r>
      <w:proofErr w:type="spellStart"/>
      <w:r w:rsidRPr="00576C3D">
        <w:t>processing</w:t>
      </w:r>
      <w:proofErr w:type="spellEnd"/>
      <w:r w:rsidRPr="00576C3D">
        <w:t>» i EU, eksporteres og senere importeres til EU og er «</w:t>
      </w:r>
      <w:proofErr w:type="spellStart"/>
      <w:r w:rsidRPr="00576C3D">
        <w:t>returned</w:t>
      </w:r>
      <w:proofErr w:type="spellEnd"/>
      <w:r w:rsidRPr="00576C3D">
        <w:t xml:space="preserve"> </w:t>
      </w:r>
      <w:proofErr w:type="spellStart"/>
      <w:r w:rsidRPr="00576C3D">
        <w:t>goods</w:t>
      </w:r>
      <w:proofErr w:type="spellEnd"/>
      <w:r w:rsidRPr="00576C3D">
        <w:t>» etter artikkel 205 i UCC, skal utslippene fra produksjonen av innsatsvaren i tredjeland, som brukes videre i EU, rapporteres i CBAM-erklæringen, jf. CBAM-forordningen artikkel 6 nr. 3. Artikkel 205 i UCC viser til artikkel 203 i UCC som definerer «</w:t>
      </w:r>
      <w:proofErr w:type="spellStart"/>
      <w:r w:rsidRPr="00576C3D">
        <w:t>returned</w:t>
      </w:r>
      <w:proofErr w:type="spellEnd"/>
      <w:r w:rsidRPr="00576C3D">
        <w:t xml:space="preserve"> </w:t>
      </w:r>
      <w:proofErr w:type="spellStart"/>
      <w:r w:rsidRPr="00576C3D">
        <w:t>goods</w:t>
      </w:r>
      <w:proofErr w:type="spellEnd"/>
      <w:r w:rsidRPr="00576C3D">
        <w:t>» som varer som er eksportert fra EU og returneres til EU innen tre år og deretter underlegges tollprosedyren «</w:t>
      </w:r>
      <w:proofErr w:type="spellStart"/>
      <w:r w:rsidRPr="00576C3D">
        <w:t>release</w:t>
      </w:r>
      <w:proofErr w:type="spellEnd"/>
      <w:r w:rsidRPr="00576C3D">
        <w:t xml:space="preserve"> for </w:t>
      </w:r>
      <w:proofErr w:type="spellStart"/>
      <w:r w:rsidRPr="00576C3D">
        <w:t>free</w:t>
      </w:r>
      <w:proofErr w:type="spellEnd"/>
      <w:r w:rsidRPr="00576C3D">
        <w:t xml:space="preserve"> </w:t>
      </w:r>
      <w:proofErr w:type="spellStart"/>
      <w:r w:rsidRPr="00576C3D">
        <w:t>circulation</w:t>
      </w:r>
      <w:proofErr w:type="spellEnd"/>
      <w:r w:rsidRPr="00576C3D">
        <w:t>».</w:t>
      </w:r>
    </w:p>
    <w:p w14:paraId="706261AE" w14:textId="77777777" w:rsidR="005D314E" w:rsidRPr="00576C3D" w:rsidRDefault="005D314E" w:rsidP="00576C3D">
      <w:r w:rsidRPr="00576C3D">
        <w:t>Er de importerte varene bearbeidede produkter som er deklarert gjennom prosedyren «</w:t>
      </w:r>
      <w:proofErr w:type="spellStart"/>
      <w:r w:rsidRPr="00576C3D">
        <w:t>outward</w:t>
      </w:r>
      <w:proofErr w:type="spellEnd"/>
      <w:r w:rsidRPr="00576C3D">
        <w:t xml:space="preserve"> </w:t>
      </w:r>
      <w:proofErr w:type="spellStart"/>
      <w:r w:rsidRPr="00576C3D">
        <w:t>processing</w:t>
      </w:r>
      <w:proofErr w:type="spellEnd"/>
      <w:r w:rsidRPr="00576C3D">
        <w:t>» etter artikkel 259 i UCC, skal utslippene fra selve bearbeidingsprosessen som ble gjort utenfor EU rapporteres, jf. CBAM-forordningen artikkel 6 nr. 4.</w:t>
      </w:r>
    </w:p>
    <w:p w14:paraId="094A3EE2" w14:textId="77777777" w:rsidR="005D314E" w:rsidRPr="00576C3D" w:rsidRDefault="005D314E" w:rsidP="00576C3D">
      <w:r w:rsidRPr="00576C3D">
        <w:t>Hvis de importerte varene er «</w:t>
      </w:r>
      <w:proofErr w:type="spellStart"/>
      <w:r w:rsidRPr="00576C3D">
        <w:t>returned</w:t>
      </w:r>
      <w:proofErr w:type="spellEnd"/>
      <w:r w:rsidRPr="00576C3D">
        <w:t xml:space="preserve"> </w:t>
      </w:r>
      <w:proofErr w:type="spellStart"/>
      <w:r w:rsidRPr="00576C3D">
        <w:t>goods</w:t>
      </w:r>
      <w:proofErr w:type="spellEnd"/>
      <w:r w:rsidRPr="00576C3D">
        <w:t>» etter artikkel 203 i UCC, skal det rapporteres «null» for utslippene, jf. CBAM-forordningen artikkel 6 nr. 5.</w:t>
      </w:r>
    </w:p>
    <w:p w14:paraId="005B2285" w14:textId="77777777" w:rsidR="005D314E" w:rsidRPr="00576C3D" w:rsidRDefault="005D314E" w:rsidP="00576C3D">
      <w:pPr>
        <w:pStyle w:val="Overskrift4"/>
      </w:pPr>
      <w:r w:rsidRPr="00576C3D">
        <w:t>Beregning av utslipp</w:t>
      </w:r>
    </w:p>
    <w:p w14:paraId="4348078E" w14:textId="77777777" w:rsidR="005D314E" w:rsidRPr="00576C3D" w:rsidRDefault="005D314E" w:rsidP="00576C3D">
      <w:r w:rsidRPr="00576C3D">
        <w:t>CBAM-forordningen artikkel 7 fastsetter hvordan utslipp fra CBAM-varer skal beregnes. Mer detaljerte regler følger av vedlegg IV. Utslippene oppgis i tonn CO</w:t>
      </w:r>
      <w:r w:rsidRPr="00576C3D">
        <w:rPr>
          <w:rStyle w:val="skrift-senket"/>
        </w:rPr>
        <w:t>2</w:t>
      </w:r>
      <w:r w:rsidRPr="00576C3D">
        <w:t xml:space="preserve">-ekvivalenter per </w:t>
      </w:r>
      <w:proofErr w:type="spellStart"/>
      <w:r w:rsidRPr="00576C3D">
        <w:t>megawattime</w:t>
      </w:r>
      <w:proofErr w:type="spellEnd"/>
      <w:r w:rsidRPr="00576C3D">
        <w:t xml:space="preserve"> for elektrisitet og tonn for andre varer. For hydrogen, jern og stål, aluminium og elektrisitet beregnes direkte utslipp fra produksjonsprosessen i tredjeland, mens gjødsel og sement inkluderer også indirekte utslipp fra elektrisitetsproduksjon.</w:t>
      </w:r>
    </w:p>
    <w:p w14:paraId="3D56B81E" w14:textId="77777777" w:rsidR="005D314E" w:rsidRPr="00576C3D" w:rsidRDefault="005D314E" w:rsidP="00576C3D">
      <w:r w:rsidRPr="00576C3D">
        <w:t>Beregningsmetoden varierer mellom faktiske utslipp og standardfaktorer. Elektrisitet beregnes som hovedregel med standardfaktorer, med mindre visse kriterier for å beregne faktiske utslipp oppfylles. For andre varer brukes normalt faktiske utslipp, men standardfaktorer benyttes hvis beregning ikke er mulig. Endringsforordningen om forenklinger gir CBAM-</w:t>
      </w:r>
      <w:proofErr w:type="spellStart"/>
      <w:r w:rsidRPr="00576C3D">
        <w:t>deklaranter</w:t>
      </w:r>
      <w:proofErr w:type="spellEnd"/>
      <w:r w:rsidRPr="00576C3D">
        <w:t xml:space="preserve"> valgfrihet mellom faktiske utslipp og standardfaktorer for direkte utslipp fra andre varer enn elektrisitet. Indirekte utslipp skal som hovedregel beregnes basert på standardfaktorer.</w:t>
      </w:r>
    </w:p>
    <w:p w14:paraId="42E21D7B" w14:textId="77777777" w:rsidR="005D314E" w:rsidRPr="00576C3D" w:rsidRDefault="005D314E" w:rsidP="00576C3D">
      <w:r w:rsidRPr="00576C3D">
        <w:t>CBAM-</w:t>
      </w:r>
      <w:proofErr w:type="spellStart"/>
      <w:r w:rsidRPr="00576C3D">
        <w:t>deklaranten</w:t>
      </w:r>
      <w:proofErr w:type="spellEnd"/>
      <w:r w:rsidRPr="00576C3D">
        <w:t xml:space="preserve"> skal ha nødvendig dokumentasjon i tråd med vedlegg V, og oppbevare den i fire år etter at CBAM-erklæringen ble levert eller skulle ha blitt levert.</w:t>
      </w:r>
    </w:p>
    <w:p w14:paraId="7791D591" w14:textId="77777777" w:rsidR="005D314E" w:rsidRPr="00576C3D" w:rsidRDefault="005D314E" w:rsidP="00576C3D">
      <w:r w:rsidRPr="00576C3D">
        <w:t>Kommisjonen vedtok desember 2025 gjennomføringsforordninger om henholdsvis metode for utslippsberegning (EU) 2025/2547 og etablering av standardfaktorer (EU) 2025/6261. Se omtalen i punkt 5.5.3.</w:t>
      </w:r>
    </w:p>
    <w:p w14:paraId="30BB0C5F" w14:textId="77777777" w:rsidR="005D314E" w:rsidRPr="00576C3D" w:rsidRDefault="005D314E" w:rsidP="00576C3D">
      <w:pPr>
        <w:pStyle w:val="Overskrift3"/>
      </w:pPr>
      <w:r w:rsidRPr="00576C3D">
        <w:t>CBAM-sertifikater</w:t>
      </w:r>
    </w:p>
    <w:p w14:paraId="12D6532F" w14:textId="77777777" w:rsidR="005D314E" w:rsidRPr="00576C3D" w:rsidRDefault="005D314E" w:rsidP="00576C3D">
      <w:pPr>
        <w:pStyle w:val="Overskrift4"/>
      </w:pPr>
      <w:r w:rsidRPr="00576C3D">
        <w:t>Kjøp og tilbakekjøp av CBAM-sertifikater</w:t>
      </w:r>
    </w:p>
    <w:p w14:paraId="4341EE2B" w14:textId="77777777" w:rsidR="005D314E" w:rsidRPr="00576C3D" w:rsidRDefault="005D314E" w:rsidP="00576C3D">
      <w:r w:rsidRPr="00576C3D">
        <w:t>Medlemsstatene skal selge CBAM-sertifikater via en felles salgsplattform fra 1. februar 2027. Kommisjonen oppretter og administrerer plattformen, registrerer kjøp og fastsetter pris basert på det ukentlige gjennomsnittet av auksjoneringsprisen til klimakvoter i EUs klimakvotesystem. Medlemsstatene kan kjøpe tilbake sertifikatene etter det årlige oppgjøret etter artikkel 22, med frist for CBAM-</w:t>
      </w:r>
      <w:proofErr w:type="spellStart"/>
      <w:r w:rsidRPr="00576C3D">
        <w:t>deklarantene</w:t>
      </w:r>
      <w:proofErr w:type="spellEnd"/>
      <w:r w:rsidRPr="00576C3D">
        <w:t xml:space="preserve"> å søke om tilbakekjøp den 31. oktober (opprinnelig 30. juni). Tilbakekjøp kan kreves for inntil en tredjedel av det totale antallet sertifikater CBAM-</w:t>
      </w:r>
      <w:proofErr w:type="spellStart"/>
      <w:r w:rsidRPr="00576C3D">
        <w:t>deklaranten</w:t>
      </w:r>
      <w:proofErr w:type="spellEnd"/>
      <w:r w:rsidRPr="00576C3D">
        <w:t xml:space="preserve"> kjøpte forrige kalenderår, eller for alle sertifikatene dersom den nedre importgrensen ikke overstiges. Etableringen og forvaltningen av den sentrale salgsplattformen skal finansieres gjennom gebyrer som CBAM-</w:t>
      </w:r>
      <w:proofErr w:type="spellStart"/>
      <w:r w:rsidRPr="00576C3D">
        <w:t>deklarantene</w:t>
      </w:r>
      <w:proofErr w:type="spellEnd"/>
      <w:r w:rsidRPr="00576C3D">
        <w:t xml:space="preserve"> må betale, jf. artikkel 20 nr. 5a.</w:t>
      </w:r>
    </w:p>
    <w:p w14:paraId="535AB505" w14:textId="77777777" w:rsidR="005D314E" w:rsidRPr="00576C3D" w:rsidRDefault="005D314E" w:rsidP="00576C3D">
      <w:pPr>
        <w:pStyle w:val="Overskrift4"/>
      </w:pPr>
      <w:r w:rsidRPr="00576C3D">
        <w:t>Automatisk annullering av sertifikater</w:t>
      </w:r>
    </w:p>
    <w:p w14:paraId="59DF7302" w14:textId="77777777" w:rsidR="005D314E" w:rsidRPr="00576C3D" w:rsidRDefault="005D314E" w:rsidP="00576C3D">
      <w:r w:rsidRPr="00576C3D">
        <w:t>Kommisjonen annullerer automatisk sertifikater som er eldre enn ett år etter foregående kalenderår, uten kompensasjon, jf. artikkel 24. Tidspunktet for annulleringen er 1. november. Dersom det pågår en tvist om hvor mange CBAM-sertifikater en CBAM-</w:t>
      </w:r>
      <w:proofErr w:type="spellStart"/>
      <w:r w:rsidRPr="00576C3D">
        <w:t>deklarant</w:t>
      </w:r>
      <w:proofErr w:type="spellEnd"/>
      <w:r w:rsidRPr="00576C3D">
        <w:t xml:space="preserve"> skal innlevere, skal Kommisjonen utsette </w:t>
      </w:r>
      <w:proofErr w:type="gramStart"/>
      <w:r w:rsidRPr="00576C3D">
        <w:t>å annullere</w:t>
      </w:r>
      <w:proofErr w:type="gramEnd"/>
      <w:r w:rsidRPr="00576C3D">
        <w:t xml:space="preserve"> det antall CBAM-sertifikater som tvisten gjelder. Ansvarlig myndighet skal uten ugrunnet opphold gi Kommisjonen all relevant informasjon, f.eks. om status i tvisten. I alle andre tilfeller skjer annulleringen automatisk.</w:t>
      </w:r>
    </w:p>
    <w:p w14:paraId="6C4BE6AB" w14:textId="77777777" w:rsidR="005D314E" w:rsidRPr="00576C3D" w:rsidRDefault="005D314E" w:rsidP="00576C3D">
      <w:pPr>
        <w:pStyle w:val="Overskrift3"/>
      </w:pPr>
      <w:r w:rsidRPr="00576C3D">
        <w:t>Overtredelsesgebyr</w:t>
      </w:r>
    </w:p>
    <w:p w14:paraId="36DD313F" w14:textId="77777777" w:rsidR="005D314E" w:rsidRPr="00576C3D" w:rsidRDefault="005D314E" w:rsidP="00576C3D">
      <w:r w:rsidRPr="00576C3D">
        <w:t>Etter CBAM-forordningen artikkel 26 nr. 1 skal autoriserte CBAM-</w:t>
      </w:r>
      <w:proofErr w:type="spellStart"/>
      <w:r w:rsidRPr="00576C3D">
        <w:t>deklaranter</w:t>
      </w:r>
      <w:proofErr w:type="spellEnd"/>
      <w:r w:rsidRPr="00576C3D">
        <w:t xml:space="preserve"> som ikke innen fristen leverer nødvendig antall CBAM-sertifikater for utslipp knyttet til varer importert året før, ilegges en sanksjon – en såkalt «</w:t>
      </w:r>
      <w:proofErr w:type="spellStart"/>
      <w:r w:rsidRPr="00576C3D">
        <w:t>payment</w:t>
      </w:r>
      <w:proofErr w:type="spellEnd"/>
      <w:r w:rsidRPr="00576C3D">
        <w:t xml:space="preserve"> </w:t>
      </w:r>
      <w:proofErr w:type="spellStart"/>
      <w:r w:rsidRPr="00576C3D">
        <w:t>of</w:t>
      </w:r>
      <w:proofErr w:type="spellEnd"/>
      <w:r w:rsidRPr="00576C3D">
        <w:t xml:space="preserve"> a </w:t>
      </w:r>
      <w:proofErr w:type="spellStart"/>
      <w:r w:rsidRPr="00576C3D">
        <w:t>penalty</w:t>
      </w:r>
      <w:proofErr w:type="spellEnd"/>
      <w:r w:rsidRPr="00576C3D">
        <w:t>». Dette tilsvarer det gebyret som skal ilegges ved brudd på oppgjørsplikten under klimakvotedirektivet og beregnes per manglende sertifikat.</w:t>
      </w:r>
    </w:p>
    <w:p w14:paraId="5EB712EE" w14:textId="77777777" w:rsidR="005D314E" w:rsidRPr="00576C3D" w:rsidRDefault="005D314E" w:rsidP="00576C3D">
      <w:r w:rsidRPr="00576C3D">
        <w:t xml:space="preserve">Gebyret kan reduseres dersom mangelen skyldes feilinformasjon fra en tredjepart, for eksempel en operatør eller en </w:t>
      </w:r>
      <w:proofErr w:type="spellStart"/>
      <w:r w:rsidRPr="00576C3D">
        <w:t>verifikatør</w:t>
      </w:r>
      <w:proofErr w:type="spellEnd"/>
      <w:r w:rsidRPr="00576C3D">
        <w:t xml:space="preserve">, jf. artikkel 26 </w:t>
      </w:r>
      <w:proofErr w:type="spellStart"/>
      <w:r w:rsidRPr="00576C3D">
        <w:t>nr</w:t>
      </w:r>
      <w:proofErr w:type="spellEnd"/>
      <w:r w:rsidRPr="00576C3D">
        <w:t xml:space="preserve"> 1a. Gebyrets størrelse skal likevel sikre at sanksjonen er effektiv, forholdsmessig og avskrekkende. Betaling av et gebyr etter artikkel 26 nr.1 og nr. 1a fritar ikke for plikten til å levere manglende sertifikater.</w:t>
      </w:r>
    </w:p>
    <w:p w14:paraId="305E1485" w14:textId="77777777" w:rsidR="005D314E" w:rsidRPr="00576C3D" w:rsidRDefault="005D314E" w:rsidP="00576C3D">
      <w:r w:rsidRPr="00576C3D">
        <w:t>I artikkel 26 nr. 2 fremgår det at personer som ikke er autoriserte CBAM-</w:t>
      </w:r>
      <w:proofErr w:type="spellStart"/>
      <w:r w:rsidRPr="00576C3D">
        <w:t>deklaranter</w:t>
      </w:r>
      <w:proofErr w:type="spellEnd"/>
      <w:r w:rsidRPr="00576C3D">
        <w:t xml:space="preserve"> og som innfører CBAM-varer til EU uten å følge reglene i forordningen, skal ilegges en sanksjon på mellom tre og fem ganger gebyret som ilegges etter artikkel 26 nr. 1.</w:t>
      </w:r>
    </w:p>
    <w:p w14:paraId="244606EA" w14:textId="77777777" w:rsidR="005D314E" w:rsidRPr="00576C3D" w:rsidRDefault="005D314E" w:rsidP="00576C3D">
      <w:r w:rsidRPr="00576C3D">
        <w:t>I artikkel 26 nr. 2a presiseres det at artikkel 26 nr. 2 også gjelder importører som overskrider terskelverdien. I slike tilfeller skal alle utslipp fra varene som importøren har importert i det aktuelle kalenderåret, tas med i beregningen. Når gebyret er betalt, fritas importøren fra plikten til å sende inn CBAM-erklæring og levere inn sertifikater for disse importene. Videre følger det av andre ledd i artikkel 26 nr. 2a at ansvarlig myndighet kan redusere gebyret fastsatt etter første ledd i artikkel 26 nr. 2a dersom importøren har overskredet terskelverdien med 10 pst. eller mindre, eller i tilfeller som nevnt i artikkel 17 nr. 7a.</w:t>
      </w:r>
    </w:p>
    <w:p w14:paraId="2D83F542" w14:textId="77777777" w:rsidR="005D314E" w:rsidRPr="00576C3D" w:rsidRDefault="005D314E" w:rsidP="00576C3D">
      <w:r w:rsidRPr="00576C3D">
        <w:t>Gebyrene skal vedtas av ansvarlig myndighet, jf. artikkel 26 nr. 4. Ansvarlig myndighet skal også varsle den berørte parten om konklusjonen, begrunnelsen, sanksjonens størrelse, betalingsfrist, hvordan betalingen skal gjennomføres og retten til å klage.</w:t>
      </w:r>
    </w:p>
    <w:p w14:paraId="3A64ABEF" w14:textId="77777777" w:rsidR="005D314E" w:rsidRPr="00576C3D" w:rsidRDefault="005D314E" w:rsidP="00576C3D">
      <w:r w:rsidRPr="00576C3D">
        <w:t>Dersom gebyret ikke betales innen fristen, skal ansvarlig myndighet i tråd med artikkel 26 nr. 5 sikre betaling med alle tilgjengelige midler etter nasjonal lovgivning.</w:t>
      </w:r>
    </w:p>
    <w:p w14:paraId="4324CA30" w14:textId="77777777" w:rsidR="005D314E" w:rsidRPr="00576C3D" w:rsidRDefault="005D314E" w:rsidP="00576C3D">
      <w:pPr>
        <w:pStyle w:val="Overskrift3"/>
      </w:pPr>
      <w:r w:rsidRPr="00576C3D">
        <w:t>Myndighetsfordeling ved forvaltning av CBAM</w:t>
      </w:r>
    </w:p>
    <w:p w14:paraId="756D6F85" w14:textId="77777777" w:rsidR="005D314E" w:rsidRPr="00576C3D" w:rsidRDefault="005D314E" w:rsidP="00576C3D">
      <w:r w:rsidRPr="00576C3D">
        <w:t>Forvaltningen av CBAM er fordelt mellom Kommisjonen og ansvarlig myndighet i hvert enkelt medlemsland. I tillegg får tollmyndighetene myndighetsoppgaver. Ansvarlig myndighet forvalter regelverket overfor CBAM-</w:t>
      </w:r>
      <w:proofErr w:type="spellStart"/>
      <w:r w:rsidRPr="00576C3D">
        <w:t>deklaranter</w:t>
      </w:r>
      <w:proofErr w:type="spellEnd"/>
      <w:r w:rsidRPr="00576C3D">
        <w:t xml:space="preserve"> som er etablert i det aktuelle medlemslandet, og skal ilegge overtredelsesgebyr ved manglende oppfyllelse av forpliktelsene og i tilfeller hvor import av CBAM-varer foretas av en importør som ikke er autorisert som CBAM-</w:t>
      </w:r>
      <w:proofErr w:type="spellStart"/>
      <w:r w:rsidRPr="00576C3D">
        <w:t>deklarant</w:t>
      </w:r>
      <w:proofErr w:type="spellEnd"/>
      <w:r w:rsidRPr="00576C3D">
        <w:t>.</w:t>
      </w:r>
    </w:p>
    <w:p w14:paraId="025C4A97" w14:textId="77777777" w:rsidR="005D314E" w:rsidRPr="00576C3D" w:rsidRDefault="005D314E" w:rsidP="00576C3D">
      <w:r w:rsidRPr="00576C3D">
        <w:t>Kommisjonen og ansvarlig myndighet i det landet hvor en CBAM-</w:t>
      </w:r>
      <w:proofErr w:type="spellStart"/>
      <w:r w:rsidRPr="00576C3D">
        <w:t>deklarant</w:t>
      </w:r>
      <w:proofErr w:type="spellEnd"/>
      <w:r w:rsidRPr="00576C3D">
        <w:t xml:space="preserve"> er etablert fører kontroll med forpliktelsene. I en del sammenhenger vil ansvarlig myndighet være avhengig av informasjon fra Kommisjonen i sin saksbehandling. Særlig gjelder dette informasjon om utslipp fra anlegg i tredjeland, importdata i eget land og importdata fra øvrige medlemsstater.</w:t>
      </w:r>
    </w:p>
    <w:p w14:paraId="29A62D57" w14:textId="77777777" w:rsidR="005D314E" w:rsidRPr="00576C3D" w:rsidRDefault="005D314E" w:rsidP="00576C3D">
      <w:r w:rsidRPr="00576C3D">
        <w:t>Kommisjonen har en sentral rolle og er ansvarlig for CBAM-registeret, opprettelse og drift av salgsplattformen, etablering, salg og tilbakekjøp av CBAM-sertifikater, samt tilsyn med at CBAM-</w:t>
      </w:r>
      <w:proofErr w:type="spellStart"/>
      <w:r w:rsidRPr="00576C3D">
        <w:t>deklaranter</w:t>
      </w:r>
      <w:proofErr w:type="spellEnd"/>
      <w:r w:rsidRPr="00576C3D">
        <w:t xml:space="preserve"> oppfyller sine forpliktelser. Kommisjonen skal overvåke den nedre importgrensen som innført ved endringsforordningen om forenklinger. Det kan ansvarlig myndighet også gjøre, men det er nærliggende at Kommisjonen gjør dette da den har tilgang til importdata fra alle medlemsstatene. Når ansvarlig myndighet får beskjed fra Kommisjonen om at den nedre importgrensen kan være overskredet, kan den kreve dokumentasjon fra importøren, Kommisjonen og tollmyndigheter til sin endelige vurdering av om grensen er overtrådt.</w:t>
      </w:r>
    </w:p>
    <w:p w14:paraId="67263C12" w14:textId="77777777" w:rsidR="005D314E" w:rsidRPr="00576C3D" w:rsidRDefault="005D314E" w:rsidP="00576C3D">
      <w:r w:rsidRPr="00576C3D">
        <w:t>Ansvarlig myndighet skal videre vurdere søknader om autorisasjon som CBAM-</w:t>
      </w:r>
      <w:proofErr w:type="spellStart"/>
      <w:r w:rsidRPr="00576C3D">
        <w:t>deklarant</w:t>
      </w:r>
      <w:proofErr w:type="spellEnd"/>
      <w:r w:rsidRPr="00576C3D">
        <w:t>. Ansvarlig myndighet skal også fatte vedtak om tilbakekall av en autorisasjon ved brudd på vilkårene. Kommisjonen skal stenge kontoen til en CBAM-</w:t>
      </w:r>
      <w:proofErr w:type="spellStart"/>
      <w:r w:rsidRPr="00576C3D">
        <w:t>deklarant</w:t>
      </w:r>
      <w:proofErr w:type="spellEnd"/>
      <w:r w:rsidRPr="00576C3D">
        <w:t xml:space="preserve"> dersom CBAM-</w:t>
      </w:r>
      <w:proofErr w:type="spellStart"/>
      <w:r w:rsidRPr="00576C3D">
        <w:t>deklaranten</w:t>
      </w:r>
      <w:proofErr w:type="spellEnd"/>
      <w:r w:rsidRPr="00576C3D">
        <w:t xml:space="preserve"> ikke har oppfylt sine forpliktelser etter forordningen og har stoppet sin økonomiske aktivitet eller fått tilbakekalt autorisasjonen. Kommisjonen stenger kontoen basert på vedtak fattet av ansvarlig myndighet.</w:t>
      </w:r>
    </w:p>
    <w:p w14:paraId="40DB6ABC" w14:textId="77777777" w:rsidR="005D314E" w:rsidRPr="00576C3D" w:rsidRDefault="005D314E" w:rsidP="00576C3D">
      <w:r w:rsidRPr="00576C3D">
        <w:t>Tollmyndighetene skal i utgangspunktet ikke tillate import av CBAM-varer fra ikke-autoriserte CBAM-</w:t>
      </w:r>
      <w:proofErr w:type="spellStart"/>
      <w:r w:rsidRPr="00576C3D">
        <w:t>deklaranter</w:t>
      </w:r>
      <w:proofErr w:type="spellEnd"/>
      <w:r w:rsidRPr="00576C3D">
        <w:t>, jf. artikkel 25 nr. 1. Unntak gjelder når importerte varer er under den nedre terskelverdien, se omtalen i punkt 2.2.3. Ved innføring av CBAM i EØS/EFTA-statene, gjelder dette samlet import i EØS. Tollmyndighetene skal jevnlig rapportere importdata til Kommisjonen som Kommisjonen deler med ansvarlige myndigheter og kryssjekker mot CBAM-registeret, jf. artikkel 25.</w:t>
      </w:r>
    </w:p>
    <w:p w14:paraId="3C9A933A" w14:textId="77777777" w:rsidR="005D314E" w:rsidRPr="00576C3D" w:rsidRDefault="005D314E" w:rsidP="00576C3D">
      <w:pPr>
        <w:pStyle w:val="Overskrift3"/>
      </w:pPr>
      <w:r w:rsidRPr="00576C3D">
        <w:t xml:space="preserve">Krav til </w:t>
      </w:r>
      <w:proofErr w:type="spellStart"/>
      <w:r w:rsidRPr="00576C3D">
        <w:t>verifikatører</w:t>
      </w:r>
      <w:proofErr w:type="spellEnd"/>
      <w:r w:rsidRPr="00576C3D">
        <w:t xml:space="preserve"> og akkrediteringsorgan</w:t>
      </w:r>
    </w:p>
    <w:p w14:paraId="110EE540" w14:textId="77777777" w:rsidR="005D314E" w:rsidRPr="00576C3D" w:rsidRDefault="005D314E" w:rsidP="00576C3D">
      <w:r w:rsidRPr="00576C3D">
        <w:t xml:space="preserve">For å kunne verifisere utslipp som inngår i CBAM-erklæringer må </w:t>
      </w:r>
      <w:proofErr w:type="spellStart"/>
      <w:r w:rsidRPr="00576C3D">
        <w:t>verifikatører</w:t>
      </w:r>
      <w:proofErr w:type="spellEnd"/>
      <w:r w:rsidRPr="00576C3D">
        <w:t xml:space="preserve"> akkrediteres av et akkrediteringsorgan, jf. artikkel 18. Akkreditering gis dersom </w:t>
      </w:r>
      <w:proofErr w:type="spellStart"/>
      <w:r w:rsidRPr="00576C3D">
        <w:t>verifikatøren</w:t>
      </w:r>
      <w:proofErr w:type="spellEnd"/>
      <w:r w:rsidRPr="00576C3D">
        <w:t xml:space="preserve"> kan anvende prinsippene i vedlegg VI, som blant annet krever profesjonell skepsis, fysiske anleggsbesøk, og verifikasjon kun når beregningen anses fri for vesentlige feil.</w:t>
      </w:r>
    </w:p>
    <w:p w14:paraId="037D7F2D" w14:textId="77777777" w:rsidR="005D314E" w:rsidRPr="00576C3D" w:rsidRDefault="005D314E" w:rsidP="00576C3D">
      <w:proofErr w:type="spellStart"/>
      <w:r w:rsidRPr="00576C3D">
        <w:t>Verifikatører</w:t>
      </w:r>
      <w:proofErr w:type="spellEnd"/>
      <w:r w:rsidRPr="00576C3D">
        <w:t xml:space="preserve"> akkreditert under forordning (EU) 2018/2067 skal ikke automatisk anses akkreditert under CBAM-forordningen, men dette skal tas i betraktning ved vurderingen av søknad som akkreditert </w:t>
      </w:r>
      <w:proofErr w:type="spellStart"/>
      <w:r w:rsidRPr="00576C3D">
        <w:t>verifikatør</w:t>
      </w:r>
      <w:proofErr w:type="spellEnd"/>
      <w:r w:rsidRPr="00576C3D">
        <w:t>. Kommisjonen har i delegert kommisjonsforordning (EU) 2025/2551 fastsatt regler om gjensidig anerkjennelse og fagfellevurdering av akkrediteringsorgan, se punkt 5.5.3.8.</w:t>
      </w:r>
    </w:p>
    <w:p w14:paraId="00849A4C" w14:textId="77777777" w:rsidR="005D314E" w:rsidRPr="00576C3D" w:rsidRDefault="005D314E" w:rsidP="00576C3D">
      <w:r w:rsidRPr="00576C3D">
        <w:t xml:space="preserve">I henhold til artikkel 10a skal akkrediterte </w:t>
      </w:r>
      <w:proofErr w:type="spellStart"/>
      <w:r w:rsidRPr="00576C3D">
        <w:t>verifikatører</w:t>
      </w:r>
      <w:proofErr w:type="spellEnd"/>
      <w:r w:rsidRPr="00576C3D">
        <w:t xml:space="preserve"> registreres i CBAM-registeret.</w:t>
      </w:r>
    </w:p>
    <w:p w14:paraId="7A200AE1" w14:textId="77777777" w:rsidR="005D314E" w:rsidRPr="00576C3D" w:rsidRDefault="005D314E" w:rsidP="00576C3D">
      <w:pPr>
        <w:pStyle w:val="Overskrift2"/>
      </w:pPr>
      <w:r w:rsidRPr="00576C3D">
        <w:t>Høring</w:t>
      </w:r>
    </w:p>
    <w:p w14:paraId="3A4E5F90" w14:textId="77777777" w:rsidR="005D314E" w:rsidRPr="00576C3D" w:rsidRDefault="005D314E" w:rsidP="00576C3D">
      <w:r w:rsidRPr="00576C3D">
        <w:t>Klima- og miljødepartementet sendte høringsnotat med forslag til CBAM-lov på høring 24. oktober 2025. Høringsfristen var 2. januar 2026. Høringsnotatet ble sendt til følgende høringsinstanser:</w:t>
      </w:r>
    </w:p>
    <w:p w14:paraId="6BB4E60F" w14:textId="77777777" w:rsidR="005D314E" w:rsidRPr="00576C3D" w:rsidRDefault="005D314E" w:rsidP="00576C3D">
      <w:pPr>
        <w:pStyle w:val="opplisting"/>
      </w:pPr>
      <w:r w:rsidRPr="00576C3D">
        <w:t>Departementene</w:t>
      </w:r>
    </w:p>
    <w:p w14:paraId="15EAC9FC" w14:textId="77777777" w:rsidR="005D314E" w:rsidRPr="00576C3D" w:rsidRDefault="005D314E" w:rsidP="00576C3D">
      <w:r w:rsidRPr="00576C3D">
        <w:t xml:space="preserve"> </w:t>
      </w:r>
    </w:p>
    <w:p w14:paraId="6B5377D3" w14:textId="77777777" w:rsidR="005D314E" w:rsidRPr="00576C3D" w:rsidRDefault="005D314E" w:rsidP="00576C3D">
      <w:pPr>
        <w:pStyle w:val="opplisting"/>
      </w:pPr>
      <w:r w:rsidRPr="00576C3D">
        <w:t xml:space="preserve">Direktoratet for </w:t>
      </w:r>
      <w:proofErr w:type="spellStart"/>
      <w:r w:rsidRPr="00576C3D">
        <w:t>byggkvalitet</w:t>
      </w:r>
      <w:proofErr w:type="spellEnd"/>
    </w:p>
    <w:p w14:paraId="7C28CB17" w14:textId="77777777" w:rsidR="005D314E" w:rsidRPr="00576C3D" w:rsidRDefault="005D314E" w:rsidP="00576C3D">
      <w:pPr>
        <w:pStyle w:val="opplisting"/>
      </w:pPr>
      <w:r w:rsidRPr="00576C3D">
        <w:t>Miljødirektoratet</w:t>
      </w:r>
    </w:p>
    <w:p w14:paraId="440431DC" w14:textId="77777777" w:rsidR="005D314E" w:rsidRPr="00576C3D" w:rsidRDefault="005D314E" w:rsidP="00576C3D">
      <w:pPr>
        <w:pStyle w:val="opplisting"/>
      </w:pPr>
      <w:r w:rsidRPr="00576C3D">
        <w:t>Norges vassdrags- og energidirektorat</w:t>
      </w:r>
    </w:p>
    <w:p w14:paraId="6FF98C2D" w14:textId="77777777" w:rsidR="005D314E" w:rsidRPr="00576C3D" w:rsidRDefault="005D314E" w:rsidP="00576C3D">
      <w:pPr>
        <w:pStyle w:val="opplisting"/>
      </w:pPr>
      <w:r w:rsidRPr="00576C3D">
        <w:t>Sokkeldirektoratet</w:t>
      </w:r>
    </w:p>
    <w:p w14:paraId="53839095" w14:textId="77777777" w:rsidR="005D314E" w:rsidRPr="00576C3D" w:rsidRDefault="005D314E" w:rsidP="00576C3D">
      <w:pPr>
        <w:pStyle w:val="opplisting"/>
      </w:pPr>
      <w:r w:rsidRPr="00576C3D">
        <w:t>Sjøfartsdirektoratet</w:t>
      </w:r>
    </w:p>
    <w:p w14:paraId="794E963E" w14:textId="77777777" w:rsidR="005D314E" w:rsidRPr="00576C3D" w:rsidRDefault="005D314E" w:rsidP="00576C3D">
      <w:pPr>
        <w:pStyle w:val="opplisting"/>
      </w:pPr>
      <w:r w:rsidRPr="00576C3D">
        <w:t>Skattedirektoratet</w:t>
      </w:r>
    </w:p>
    <w:p w14:paraId="56E6BADD" w14:textId="77777777" w:rsidR="005D314E" w:rsidRPr="00576C3D" w:rsidRDefault="005D314E" w:rsidP="00576C3D">
      <w:pPr>
        <w:pStyle w:val="opplisting"/>
      </w:pPr>
      <w:r w:rsidRPr="00576C3D">
        <w:t>Statens vegvesen, Vegdirektoratet</w:t>
      </w:r>
    </w:p>
    <w:p w14:paraId="6C9B9151" w14:textId="77777777" w:rsidR="005D314E" w:rsidRPr="00576C3D" w:rsidRDefault="005D314E" w:rsidP="00576C3D">
      <w:pPr>
        <w:pStyle w:val="opplisting"/>
      </w:pPr>
      <w:r w:rsidRPr="00576C3D">
        <w:t>Statistisk sentralbyrå</w:t>
      </w:r>
    </w:p>
    <w:p w14:paraId="2722B2E2" w14:textId="77777777" w:rsidR="005D314E" w:rsidRPr="00576C3D" w:rsidRDefault="005D314E" w:rsidP="00576C3D">
      <w:pPr>
        <w:pStyle w:val="opplisting"/>
      </w:pPr>
      <w:r w:rsidRPr="00576C3D">
        <w:t>Tolletaten</w:t>
      </w:r>
    </w:p>
    <w:p w14:paraId="793555A6" w14:textId="77777777" w:rsidR="005D314E" w:rsidRPr="00576C3D" w:rsidRDefault="005D314E" w:rsidP="00576C3D">
      <w:pPr>
        <w:pStyle w:val="opplisting"/>
      </w:pPr>
      <w:r w:rsidRPr="00576C3D">
        <w:t>Økokrim</w:t>
      </w:r>
    </w:p>
    <w:p w14:paraId="0E23C16F" w14:textId="77777777" w:rsidR="005D314E" w:rsidRPr="00576C3D" w:rsidRDefault="005D314E" w:rsidP="00576C3D">
      <w:pPr>
        <w:pStyle w:val="opplisting"/>
      </w:pPr>
      <w:r w:rsidRPr="00576C3D">
        <w:t>Alle statsforvaltere</w:t>
      </w:r>
    </w:p>
    <w:p w14:paraId="0CC08A2E" w14:textId="77777777" w:rsidR="005D314E" w:rsidRPr="00576C3D" w:rsidRDefault="005D314E" w:rsidP="00576C3D">
      <w:pPr>
        <w:pStyle w:val="opplisting"/>
      </w:pPr>
      <w:r w:rsidRPr="00576C3D">
        <w:t>Norges forskningsråd</w:t>
      </w:r>
    </w:p>
    <w:p w14:paraId="5181CBCB" w14:textId="77777777" w:rsidR="005D314E" w:rsidRPr="00576C3D" w:rsidRDefault="005D314E" w:rsidP="00576C3D">
      <w:pPr>
        <w:pStyle w:val="opplisting"/>
      </w:pPr>
      <w:r w:rsidRPr="00576C3D">
        <w:t>Regelrådet</w:t>
      </w:r>
    </w:p>
    <w:p w14:paraId="7B7416B7" w14:textId="77777777" w:rsidR="005D314E" w:rsidRPr="00576C3D" w:rsidRDefault="005D314E" w:rsidP="00576C3D">
      <w:pPr>
        <w:pStyle w:val="opplisting"/>
      </w:pPr>
      <w:r w:rsidRPr="00576C3D">
        <w:t>Sametinget</w:t>
      </w:r>
    </w:p>
    <w:p w14:paraId="2F9860DE" w14:textId="77777777" w:rsidR="005D314E" w:rsidRPr="00576C3D" w:rsidRDefault="005D314E" w:rsidP="00576C3D">
      <w:pPr>
        <w:pStyle w:val="opplisting"/>
      </w:pPr>
      <w:r w:rsidRPr="00576C3D">
        <w:t>Statsbygg</w:t>
      </w:r>
    </w:p>
    <w:p w14:paraId="03C8FE31" w14:textId="77777777" w:rsidR="005D314E" w:rsidRPr="00576C3D" w:rsidRDefault="005D314E" w:rsidP="00576C3D">
      <w:pPr>
        <w:pStyle w:val="opplisting"/>
      </w:pPr>
      <w:r w:rsidRPr="00576C3D">
        <w:t>Norges handelshøyskole</w:t>
      </w:r>
    </w:p>
    <w:p w14:paraId="50CC5399" w14:textId="77777777" w:rsidR="005D314E" w:rsidRPr="00576C3D" w:rsidRDefault="005D314E" w:rsidP="00576C3D">
      <w:pPr>
        <w:pStyle w:val="opplisting"/>
      </w:pPr>
      <w:r w:rsidRPr="00576C3D">
        <w:t>Norges miljø- og biovitenskapelige universitet</w:t>
      </w:r>
    </w:p>
    <w:p w14:paraId="49AFFE75" w14:textId="77777777" w:rsidR="005D314E" w:rsidRPr="00576C3D" w:rsidRDefault="005D314E" w:rsidP="00576C3D">
      <w:pPr>
        <w:pStyle w:val="opplisting"/>
      </w:pPr>
      <w:r w:rsidRPr="00576C3D">
        <w:t>Norges teknisk-naturvitenskapelige universitet</w:t>
      </w:r>
    </w:p>
    <w:p w14:paraId="7FC19B3A" w14:textId="77777777" w:rsidR="005D314E" w:rsidRPr="00576C3D" w:rsidRDefault="005D314E" w:rsidP="00576C3D">
      <w:pPr>
        <w:pStyle w:val="opplisting"/>
      </w:pPr>
      <w:r w:rsidRPr="00576C3D">
        <w:t>Universitetet i Agder</w:t>
      </w:r>
    </w:p>
    <w:p w14:paraId="416D0046" w14:textId="77777777" w:rsidR="005D314E" w:rsidRPr="00576C3D" w:rsidRDefault="005D314E" w:rsidP="00576C3D">
      <w:pPr>
        <w:pStyle w:val="opplisting"/>
      </w:pPr>
      <w:r w:rsidRPr="00576C3D">
        <w:t>Universitetet i Bergen</w:t>
      </w:r>
    </w:p>
    <w:p w14:paraId="0DB04F2E" w14:textId="77777777" w:rsidR="005D314E" w:rsidRPr="00576C3D" w:rsidRDefault="005D314E" w:rsidP="00576C3D">
      <w:pPr>
        <w:pStyle w:val="opplisting"/>
      </w:pPr>
      <w:r w:rsidRPr="00576C3D">
        <w:t>Universitetet i Oslo</w:t>
      </w:r>
    </w:p>
    <w:p w14:paraId="3FDA51B5" w14:textId="77777777" w:rsidR="005D314E" w:rsidRPr="00576C3D" w:rsidRDefault="005D314E" w:rsidP="00576C3D">
      <w:pPr>
        <w:pStyle w:val="opplisting"/>
      </w:pPr>
      <w:r w:rsidRPr="00576C3D">
        <w:t>Universitetet i Stavanger</w:t>
      </w:r>
    </w:p>
    <w:p w14:paraId="357D56DC" w14:textId="77777777" w:rsidR="005D314E" w:rsidRPr="00576C3D" w:rsidRDefault="005D314E" w:rsidP="00576C3D">
      <w:pPr>
        <w:pStyle w:val="opplisting"/>
      </w:pPr>
      <w:r w:rsidRPr="00576C3D">
        <w:t>Universitetet i Tromsø</w:t>
      </w:r>
    </w:p>
    <w:p w14:paraId="247A020D" w14:textId="734A36A3" w:rsidR="005D314E" w:rsidRPr="00576C3D" w:rsidRDefault="005D314E" w:rsidP="00576C3D">
      <w:pPr>
        <w:pStyle w:val="opplisting"/>
      </w:pPr>
      <w:r w:rsidRPr="00576C3D">
        <w:t>Universitetsmuseet i Bergen, Universitetet i Bergen</w:t>
      </w:r>
    </w:p>
    <w:p w14:paraId="77AD752D" w14:textId="77777777" w:rsidR="005D314E" w:rsidRPr="00576C3D" w:rsidRDefault="005D314E" w:rsidP="00576C3D">
      <w:r w:rsidRPr="00576C3D">
        <w:t xml:space="preserve"> </w:t>
      </w:r>
    </w:p>
    <w:p w14:paraId="547531FD" w14:textId="77777777" w:rsidR="005D314E" w:rsidRPr="00576C3D" w:rsidRDefault="005D314E" w:rsidP="00576C3D">
      <w:pPr>
        <w:pStyle w:val="opplisting"/>
      </w:pPr>
      <w:r w:rsidRPr="00576C3D">
        <w:t>Alle fylkeskommuner</w:t>
      </w:r>
    </w:p>
    <w:p w14:paraId="2F0B8D74" w14:textId="77777777" w:rsidR="005D314E" w:rsidRPr="00576C3D" w:rsidRDefault="005D314E" w:rsidP="00576C3D">
      <w:pPr>
        <w:pStyle w:val="opplisting"/>
      </w:pPr>
      <w:r w:rsidRPr="00576C3D">
        <w:t>Alle kommuner</w:t>
      </w:r>
    </w:p>
    <w:p w14:paraId="693E6D1C" w14:textId="77777777" w:rsidR="005D314E" w:rsidRPr="00576C3D" w:rsidRDefault="005D314E" w:rsidP="00576C3D">
      <w:pPr>
        <w:pStyle w:val="opplisting"/>
      </w:pPr>
      <w:proofErr w:type="spellStart"/>
      <w:r w:rsidRPr="00576C3D">
        <w:t>Enova</w:t>
      </w:r>
      <w:proofErr w:type="spellEnd"/>
      <w:r w:rsidRPr="00576C3D">
        <w:t xml:space="preserve"> SF</w:t>
      </w:r>
    </w:p>
    <w:p w14:paraId="1AECC070" w14:textId="77777777" w:rsidR="005D314E" w:rsidRPr="00576C3D" w:rsidRDefault="005D314E" w:rsidP="00576C3D">
      <w:pPr>
        <w:pStyle w:val="opplisting"/>
      </w:pPr>
      <w:r w:rsidRPr="00576C3D">
        <w:t>Posten/Bring</w:t>
      </w:r>
    </w:p>
    <w:p w14:paraId="079F466F" w14:textId="77777777" w:rsidR="005D314E" w:rsidRPr="00576C3D" w:rsidRDefault="005D314E" w:rsidP="00576C3D">
      <w:pPr>
        <w:pStyle w:val="opplisting"/>
      </w:pPr>
      <w:proofErr w:type="spellStart"/>
      <w:r w:rsidRPr="00576C3D">
        <w:t>PostNord</w:t>
      </w:r>
      <w:proofErr w:type="spellEnd"/>
    </w:p>
    <w:p w14:paraId="045DB737" w14:textId="77777777" w:rsidR="005D314E" w:rsidRPr="00576C3D" w:rsidRDefault="005D314E" w:rsidP="00576C3D">
      <w:pPr>
        <w:pStyle w:val="opplisting"/>
      </w:pPr>
      <w:r w:rsidRPr="00576C3D">
        <w:t>Statkraft</w:t>
      </w:r>
    </w:p>
    <w:p w14:paraId="1A4A76E0" w14:textId="77777777" w:rsidR="005D314E" w:rsidRPr="00576C3D" w:rsidRDefault="005D314E" w:rsidP="00576C3D">
      <w:pPr>
        <w:pStyle w:val="opplisting"/>
      </w:pPr>
      <w:r w:rsidRPr="00576C3D">
        <w:t>Statnett SF</w:t>
      </w:r>
    </w:p>
    <w:p w14:paraId="35BF2433" w14:textId="77777777" w:rsidR="005D314E" w:rsidRPr="00576C3D" w:rsidRDefault="005D314E" w:rsidP="00576C3D">
      <w:pPr>
        <w:pStyle w:val="opplisting"/>
      </w:pPr>
      <w:r w:rsidRPr="00576C3D">
        <w:t>Stiftelsen Miljøfyrtårn</w:t>
      </w:r>
    </w:p>
    <w:p w14:paraId="00DC948B" w14:textId="77777777" w:rsidR="005D314E" w:rsidRPr="00576C3D" w:rsidRDefault="005D314E" w:rsidP="00576C3D"/>
    <w:p w14:paraId="293B4E12" w14:textId="77777777" w:rsidR="005D314E" w:rsidRPr="00576C3D" w:rsidRDefault="005D314E" w:rsidP="00576C3D">
      <w:pPr>
        <w:pStyle w:val="opplisting"/>
      </w:pPr>
      <w:r w:rsidRPr="00576C3D">
        <w:t>A/S Norske Shell</w:t>
      </w:r>
    </w:p>
    <w:p w14:paraId="632EDD82" w14:textId="77777777" w:rsidR="005D314E" w:rsidRPr="00576C3D" w:rsidRDefault="005D314E" w:rsidP="00576C3D">
      <w:pPr>
        <w:pStyle w:val="opplisting"/>
      </w:pPr>
      <w:r w:rsidRPr="00576C3D">
        <w:t>AF-gruppen</w:t>
      </w:r>
    </w:p>
    <w:p w14:paraId="17F4A8D2" w14:textId="77777777" w:rsidR="005D314E" w:rsidRPr="00576C3D" w:rsidRDefault="005D314E" w:rsidP="00576C3D">
      <w:pPr>
        <w:pStyle w:val="opplisting"/>
      </w:pPr>
      <w:r w:rsidRPr="00576C3D">
        <w:t>Aker BP ASA</w:t>
      </w:r>
    </w:p>
    <w:p w14:paraId="1FFD4154" w14:textId="77777777" w:rsidR="005D314E" w:rsidRPr="00576C3D" w:rsidRDefault="005D314E" w:rsidP="00576C3D">
      <w:pPr>
        <w:pStyle w:val="opplisting"/>
      </w:pPr>
      <w:r w:rsidRPr="00576C3D">
        <w:t>Alcoa Lista</w:t>
      </w:r>
    </w:p>
    <w:p w14:paraId="51C00077" w14:textId="77777777" w:rsidR="005D314E" w:rsidRPr="00576C3D" w:rsidRDefault="005D314E" w:rsidP="00576C3D">
      <w:pPr>
        <w:pStyle w:val="opplisting"/>
      </w:pPr>
      <w:r w:rsidRPr="00576C3D">
        <w:t>Alcoa Mosjøen</w:t>
      </w:r>
    </w:p>
    <w:p w14:paraId="4DDEC3F9" w14:textId="77777777" w:rsidR="005D314E" w:rsidRPr="00576C3D" w:rsidRDefault="005D314E" w:rsidP="00576C3D">
      <w:pPr>
        <w:pStyle w:val="opplisting"/>
      </w:pPr>
      <w:proofErr w:type="spellStart"/>
      <w:r w:rsidRPr="00576C3D">
        <w:t>Benteler</w:t>
      </w:r>
      <w:proofErr w:type="spellEnd"/>
      <w:r w:rsidRPr="00576C3D">
        <w:t xml:space="preserve"> Automotive Raufoss AS</w:t>
      </w:r>
    </w:p>
    <w:p w14:paraId="76111320" w14:textId="77777777" w:rsidR="005D314E" w:rsidRPr="00576C3D" w:rsidRDefault="005D314E" w:rsidP="00576C3D">
      <w:pPr>
        <w:pStyle w:val="opplisting"/>
      </w:pPr>
      <w:proofErr w:type="spellStart"/>
      <w:r w:rsidRPr="00576C3D">
        <w:t>Byggfakta</w:t>
      </w:r>
      <w:proofErr w:type="spellEnd"/>
      <w:r w:rsidRPr="00576C3D">
        <w:t xml:space="preserve"> AS</w:t>
      </w:r>
    </w:p>
    <w:p w14:paraId="0817B381" w14:textId="77777777" w:rsidR="005D314E" w:rsidRPr="00576C3D" w:rsidRDefault="005D314E" w:rsidP="00576C3D">
      <w:pPr>
        <w:pStyle w:val="opplisting"/>
      </w:pPr>
      <w:proofErr w:type="spellStart"/>
      <w:r w:rsidRPr="00576C3D">
        <w:t>ColliCare</w:t>
      </w:r>
      <w:proofErr w:type="spellEnd"/>
      <w:r w:rsidRPr="00576C3D">
        <w:t xml:space="preserve"> </w:t>
      </w:r>
      <w:proofErr w:type="spellStart"/>
      <w:r w:rsidRPr="00576C3D">
        <w:t>Logistics</w:t>
      </w:r>
      <w:proofErr w:type="spellEnd"/>
    </w:p>
    <w:p w14:paraId="104E1F87" w14:textId="77777777" w:rsidR="005D314E" w:rsidRPr="00576C3D" w:rsidRDefault="005D314E" w:rsidP="00576C3D">
      <w:pPr>
        <w:pStyle w:val="opplisting"/>
      </w:pPr>
      <w:r w:rsidRPr="00576C3D">
        <w:t>COWI AS</w:t>
      </w:r>
    </w:p>
    <w:p w14:paraId="201C3258" w14:textId="77777777" w:rsidR="005D314E" w:rsidRPr="00576C3D" w:rsidRDefault="005D314E" w:rsidP="00576C3D">
      <w:pPr>
        <w:pStyle w:val="opplisting"/>
      </w:pPr>
      <w:r w:rsidRPr="00576C3D">
        <w:t xml:space="preserve">Det norske </w:t>
      </w:r>
      <w:proofErr w:type="spellStart"/>
      <w:r w:rsidRPr="00576C3D">
        <w:t>veritas</w:t>
      </w:r>
      <w:proofErr w:type="spellEnd"/>
      <w:r w:rsidRPr="00576C3D">
        <w:t xml:space="preserve"> – DNV GL</w:t>
      </w:r>
    </w:p>
    <w:p w14:paraId="74C42B90" w14:textId="77777777" w:rsidR="005D314E" w:rsidRPr="00576C3D" w:rsidRDefault="005D314E" w:rsidP="00576C3D">
      <w:pPr>
        <w:pStyle w:val="opplisting"/>
      </w:pPr>
      <w:r w:rsidRPr="00576C3D">
        <w:t>DHL Supply Chain (Norway) AS</w:t>
      </w:r>
    </w:p>
    <w:p w14:paraId="24C82C19" w14:textId="77777777" w:rsidR="005D314E" w:rsidRPr="00576C3D" w:rsidRDefault="005D314E" w:rsidP="00576C3D">
      <w:pPr>
        <w:pStyle w:val="opplisting"/>
      </w:pPr>
      <w:r w:rsidRPr="00576C3D">
        <w:t>Elkem</w:t>
      </w:r>
    </w:p>
    <w:p w14:paraId="2E508D6E" w14:textId="77777777" w:rsidR="005D314E" w:rsidRPr="00576C3D" w:rsidRDefault="005D314E" w:rsidP="00576C3D">
      <w:pPr>
        <w:pStyle w:val="opplisting"/>
      </w:pPr>
      <w:proofErr w:type="spellStart"/>
      <w:r w:rsidRPr="00576C3D">
        <w:t>Equinor</w:t>
      </w:r>
      <w:proofErr w:type="spellEnd"/>
    </w:p>
    <w:p w14:paraId="634E8056" w14:textId="77777777" w:rsidR="005D314E" w:rsidRPr="00576C3D" w:rsidRDefault="005D314E" w:rsidP="00576C3D">
      <w:pPr>
        <w:pStyle w:val="opplisting"/>
      </w:pPr>
      <w:r w:rsidRPr="00576C3D">
        <w:t>Esso Norge AS</w:t>
      </w:r>
    </w:p>
    <w:p w14:paraId="559E591A" w14:textId="77777777" w:rsidR="005D314E" w:rsidRPr="00576C3D" w:rsidRDefault="005D314E" w:rsidP="00576C3D">
      <w:pPr>
        <w:pStyle w:val="opplisting"/>
      </w:pPr>
      <w:r w:rsidRPr="00576C3D">
        <w:t>Hafslund AS</w:t>
      </w:r>
    </w:p>
    <w:p w14:paraId="36CD2FEF" w14:textId="77777777" w:rsidR="005D314E" w:rsidRPr="00576C3D" w:rsidRDefault="005D314E" w:rsidP="00576C3D">
      <w:pPr>
        <w:pStyle w:val="opplisting"/>
      </w:pPr>
      <w:r w:rsidRPr="00576C3D">
        <w:t xml:space="preserve">Norsk </w:t>
      </w:r>
      <w:proofErr w:type="spellStart"/>
      <w:r w:rsidRPr="00576C3D">
        <w:t>byggtjeneste</w:t>
      </w:r>
      <w:proofErr w:type="spellEnd"/>
      <w:r w:rsidRPr="00576C3D">
        <w:t xml:space="preserve"> AS</w:t>
      </w:r>
    </w:p>
    <w:p w14:paraId="78B4B678" w14:textId="77777777" w:rsidR="005D314E" w:rsidRPr="00576C3D" w:rsidRDefault="005D314E" w:rsidP="00576C3D">
      <w:pPr>
        <w:pStyle w:val="opplisting"/>
      </w:pPr>
      <w:r w:rsidRPr="00576C3D">
        <w:t>Norsk Hydro ASA</w:t>
      </w:r>
    </w:p>
    <w:p w14:paraId="47C900D8" w14:textId="77777777" w:rsidR="005D314E" w:rsidRPr="00576C3D" w:rsidRDefault="005D314E" w:rsidP="00576C3D">
      <w:pPr>
        <w:pStyle w:val="opplisting"/>
      </w:pPr>
      <w:r w:rsidRPr="00576C3D">
        <w:t>Rambøll Norge AS</w:t>
      </w:r>
    </w:p>
    <w:p w14:paraId="05324400" w14:textId="77777777" w:rsidR="005D314E" w:rsidRPr="00576C3D" w:rsidRDefault="005D314E" w:rsidP="00576C3D">
      <w:pPr>
        <w:pStyle w:val="opplisting"/>
      </w:pPr>
      <w:r w:rsidRPr="00576C3D">
        <w:t>Schenker AS</w:t>
      </w:r>
    </w:p>
    <w:p w14:paraId="74676C31" w14:textId="77777777" w:rsidR="005D314E" w:rsidRPr="00576C3D" w:rsidRDefault="005D314E" w:rsidP="00576C3D">
      <w:pPr>
        <w:pStyle w:val="opplisting"/>
      </w:pPr>
      <w:proofErr w:type="spellStart"/>
      <w:r w:rsidRPr="00576C3D">
        <w:t>Speira</w:t>
      </w:r>
      <w:proofErr w:type="spellEnd"/>
      <w:r w:rsidRPr="00576C3D">
        <w:t xml:space="preserve"> AS</w:t>
      </w:r>
    </w:p>
    <w:p w14:paraId="3EAE9CD8" w14:textId="77777777" w:rsidR="005D314E" w:rsidRPr="00576C3D" w:rsidRDefault="005D314E" w:rsidP="00576C3D">
      <w:pPr>
        <w:pStyle w:val="opplisting"/>
      </w:pPr>
      <w:r w:rsidRPr="00576C3D">
        <w:t>Sumitomo Corporation Europe Limited</w:t>
      </w:r>
    </w:p>
    <w:p w14:paraId="4BC3ECD9" w14:textId="77777777" w:rsidR="005D314E" w:rsidRPr="00576C3D" w:rsidRDefault="005D314E" w:rsidP="00576C3D">
      <w:pPr>
        <w:pStyle w:val="opplisting"/>
      </w:pPr>
      <w:r w:rsidRPr="00576C3D">
        <w:t>Technip Norge AS</w:t>
      </w:r>
    </w:p>
    <w:p w14:paraId="36622DA1" w14:textId="77777777" w:rsidR="005D314E" w:rsidRPr="00576C3D" w:rsidRDefault="005D314E" w:rsidP="00576C3D">
      <w:pPr>
        <w:pStyle w:val="opplisting"/>
      </w:pPr>
      <w:r w:rsidRPr="00576C3D">
        <w:t>Yara Norge AS</w:t>
      </w:r>
    </w:p>
    <w:p w14:paraId="6F7D496F" w14:textId="77777777" w:rsidR="005D314E" w:rsidRPr="00576C3D" w:rsidRDefault="005D314E" w:rsidP="00576C3D">
      <w:r w:rsidRPr="00576C3D">
        <w:t xml:space="preserve"> </w:t>
      </w:r>
    </w:p>
    <w:p w14:paraId="34772042" w14:textId="77777777" w:rsidR="005D314E" w:rsidRPr="00576C3D" w:rsidRDefault="005D314E" w:rsidP="00576C3D">
      <w:pPr>
        <w:pStyle w:val="opplisting"/>
      </w:pPr>
      <w:r w:rsidRPr="00576C3D">
        <w:t>Akademikerne</w:t>
      </w:r>
    </w:p>
    <w:p w14:paraId="591D6468" w14:textId="77777777" w:rsidR="005D314E" w:rsidRPr="00576C3D" w:rsidRDefault="005D314E" w:rsidP="00576C3D">
      <w:pPr>
        <w:pStyle w:val="opplisting"/>
      </w:pPr>
      <w:r w:rsidRPr="00576C3D">
        <w:t>Byggenæringens landsforening</w:t>
      </w:r>
    </w:p>
    <w:p w14:paraId="57A1E137" w14:textId="77777777" w:rsidR="005D314E" w:rsidRPr="00576C3D" w:rsidRDefault="005D314E" w:rsidP="00576C3D">
      <w:pPr>
        <w:pStyle w:val="opplisting"/>
      </w:pPr>
      <w:r w:rsidRPr="00576C3D">
        <w:t>Byggevareindustriens forening</w:t>
      </w:r>
    </w:p>
    <w:p w14:paraId="7849E959" w14:textId="77777777" w:rsidR="005D314E" w:rsidRPr="00576C3D" w:rsidRDefault="005D314E" w:rsidP="00576C3D">
      <w:pPr>
        <w:pStyle w:val="opplisting"/>
      </w:pPr>
      <w:r w:rsidRPr="00576C3D">
        <w:t>Byggmesterforbundet</w:t>
      </w:r>
    </w:p>
    <w:p w14:paraId="4689EA87" w14:textId="77777777" w:rsidR="005D314E" w:rsidRPr="00576C3D" w:rsidRDefault="005D314E" w:rsidP="00576C3D">
      <w:pPr>
        <w:pStyle w:val="opplisting"/>
      </w:pPr>
      <w:r w:rsidRPr="00576C3D">
        <w:t>Drivkraft Norge</w:t>
      </w:r>
    </w:p>
    <w:p w14:paraId="33F705CD" w14:textId="77777777" w:rsidR="005D314E" w:rsidRPr="00576C3D" w:rsidRDefault="005D314E" w:rsidP="00576C3D">
      <w:pPr>
        <w:pStyle w:val="opplisting"/>
      </w:pPr>
      <w:r w:rsidRPr="00576C3D">
        <w:t>Energi Norge</w:t>
      </w:r>
    </w:p>
    <w:p w14:paraId="26A64B43" w14:textId="77777777" w:rsidR="005D314E" w:rsidRPr="00576C3D" w:rsidRDefault="005D314E" w:rsidP="00576C3D">
      <w:pPr>
        <w:pStyle w:val="opplisting"/>
      </w:pPr>
      <w:r w:rsidRPr="00576C3D">
        <w:t>Entreprenørforeningen – Bygg og anlegg</w:t>
      </w:r>
    </w:p>
    <w:p w14:paraId="54A20F3F" w14:textId="77777777" w:rsidR="005D314E" w:rsidRPr="00576C3D" w:rsidRDefault="005D314E" w:rsidP="00576C3D">
      <w:pPr>
        <w:pStyle w:val="opplisting"/>
      </w:pPr>
      <w:r w:rsidRPr="00576C3D">
        <w:t>Fellesforbundet</w:t>
      </w:r>
    </w:p>
    <w:p w14:paraId="682FCFC8" w14:textId="77777777" w:rsidR="005D314E" w:rsidRPr="00576C3D" w:rsidRDefault="005D314E" w:rsidP="00576C3D">
      <w:pPr>
        <w:pStyle w:val="opplisting"/>
      </w:pPr>
      <w:r w:rsidRPr="00576C3D">
        <w:t>Finans Norge</w:t>
      </w:r>
    </w:p>
    <w:p w14:paraId="0D431B14" w14:textId="77777777" w:rsidR="005D314E" w:rsidRPr="00576C3D" w:rsidRDefault="005D314E" w:rsidP="00576C3D">
      <w:pPr>
        <w:pStyle w:val="opplisting"/>
      </w:pPr>
      <w:r w:rsidRPr="00576C3D">
        <w:t>Fornybar Norge</w:t>
      </w:r>
    </w:p>
    <w:p w14:paraId="62728590" w14:textId="77777777" w:rsidR="005D314E" w:rsidRPr="00576C3D" w:rsidRDefault="005D314E" w:rsidP="00576C3D">
      <w:pPr>
        <w:pStyle w:val="opplisting"/>
      </w:pPr>
      <w:r w:rsidRPr="00576C3D">
        <w:t>Hovedorganisasjonen Virke</w:t>
      </w:r>
    </w:p>
    <w:p w14:paraId="5E7AC119" w14:textId="77777777" w:rsidR="005D314E" w:rsidRPr="00576C3D" w:rsidRDefault="005D314E" w:rsidP="00576C3D">
      <w:pPr>
        <w:pStyle w:val="opplisting"/>
      </w:pPr>
      <w:r w:rsidRPr="00576C3D">
        <w:t>Industri Energi</w:t>
      </w:r>
    </w:p>
    <w:p w14:paraId="264EC97B" w14:textId="77777777" w:rsidR="005D314E" w:rsidRPr="00576C3D" w:rsidRDefault="005D314E" w:rsidP="00576C3D">
      <w:pPr>
        <w:pStyle w:val="opplisting"/>
      </w:pPr>
      <w:r w:rsidRPr="00576C3D">
        <w:t>Landsorganisasjonen i Norge</w:t>
      </w:r>
    </w:p>
    <w:p w14:paraId="37942EA7" w14:textId="77777777" w:rsidR="005D314E" w:rsidRPr="00576C3D" w:rsidRDefault="005D314E" w:rsidP="00576C3D">
      <w:pPr>
        <w:pStyle w:val="opplisting"/>
      </w:pPr>
      <w:r w:rsidRPr="00576C3D">
        <w:t>NHO Logistikk og Transport</w:t>
      </w:r>
    </w:p>
    <w:p w14:paraId="4ACE94A2" w14:textId="77777777" w:rsidR="005D314E" w:rsidRPr="00576C3D" w:rsidRDefault="005D314E" w:rsidP="00576C3D">
      <w:pPr>
        <w:pStyle w:val="opplisting"/>
      </w:pPr>
      <w:r w:rsidRPr="00576C3D">
        <w:t>NHO Luftfart</w:t>
      </w:r>
    </w:p>
    <w:p w14:paraId="7228EE21" w14:textId="77777777" w:rsidR="005D314E" w:rsidRPr="00576C3D" w:rsidRDefault="005D314E" w:rsidP="00576C3D">
      <w:pPr>
        <w:pStyle w:val="opplisting"/>
      </w:pPr>
      <w:r w:rsidRPr="00576C3D">
        <w:t>NHO Mat og drikke</w:t>
      </w:r>
    </w:p>
    <w:p w14:paraId="27445BAE" w14:textId="77777777" w:rsidR="005D314E" w:rsidRPr="00576C3D" w:rsidRDefault="005D314E" w:rsidP="00576C3D">
      <w:pPr>
        <w:pStyle w:val="opplisting"/>
      </w:pPr>
      <w:r w:rsidRPr="00576C3D">
        <w:t>NHO Reiseliv</w:t>
      </w:r>
    </w:p>
    <w:p w14:paraId="047DE713" w14:textId="77777777" w:rsidR="005D314E" w:rsidRPr="00576C3D" w:rsidRDefault="005D314E" w:rsidP="00576C3D">
      <w:pPr>
        <w:pStyle w:val="opplisting"/>
      </w:pPr>
      <w:r w:rsidRPr="00576C3D">
        <w:t>NHO Service og Handel</w:t>
      </w:r>
    </w:p>
    <w:p w14:paraId="6D16749A" w14:textId="77777777" w:rsidR="005D314E" w:rsidRPr="00576C3D" w:rsidRDefault="005D314E" w:rsidP="00576C3D">
      <w:pPr>
        <w:pStyle w:val="opplisting"/>
      </w:pPr>
      <w:r w:rsidRPr="00576C3D">
        <w:t>NHO Sjøfart</w:t>
      </w:r>
    </w:p>
    <w:p w14:paraId="11843AB3" w14:textId="77777777" w:rsidR="005D314E" w:rsidRPr="00576C3D" w:rsidRDefault="005D314E" w:rsidP="00576C3D">
      <w:pPr>
        <w:pStyle w:val="opplisting"/>
      </w:pPr>
      <w:r w:rsidRPr="00576C3D">
        <w:t>NHO Transport</w:t>
      </w:r>
    </w:p>
    <w:p w14:paraId="18CC9728" w14:textId="77777777" w:rsidR="005D314E" w:rsidRPr="00576C3D" w:rsidRDefault="005D314E" w:rsidP="00576C3D">
      <w:pPr>
        <w:pStyle w:val="opplisting"/>
      </w:pPr>
      <w:r w:rsidRPr="00576C3D">
        <w:t>Næringslivets hovedorganisasjon</w:t>
      </w:r>
    </w:p>
    <w:p w14:paraId="7BCFA0DC" w14:textId="77777777" w:rsidR="005D314E" w:rsidRPr="00576C3D" w:rsidRDefault="005D314E" w:rsidP="00576C3D">
      <w:pPr>
        <w:pStyle w:val="opplisting"/>
      </w:pPr>
      <w:r w:rsidRPr="00576C3D">
        <w:t>Norsk bioenergiforening</w:t>
      </w:r>
    </w:p>
    <w:p w14:paraId="675B1520" w14:textId="77777777" w:rsidR="005D314E" w:rsidRPr="00576C3D" w:rsidRDefault="005D314E" w:rsidP="00576C3D">
      <w:pPr>
        <w:pStyle w:val="opplisting"/>
      </w:pPr>
      <w:r w:rsidRPr="00576C3D">
        <w:t>Norsk industri</w:t>
      </w:r>
    </w:p>
    <w:p w14:paraId="2C465A8C" w14:textId="77777777" w:rsidR="005D314E" w:rsidRPr="00576C3D" w:rsidRDefault="005D314E" w:rsidP="00576C3D">
      <w:pPr>
        <w:pStyle w:val="opplisting"/>
      </w:pPr>
      <w:r w:rsidRPr="00576C3D">
        <w:t>Norsk olje og gass</w:t>
      </w:r>
    </w:p>
    <w:p w14:paraId="220C723F" w14:textId="77777777" w:rsidR="005D314E" w:rsidRPr="00576C3D" w:rsidRDefault="005D314E" w:rsidP="00576C3D">
      <w:pPr>
        <w:pStyle w:val="opplisting"/>
      </w:pPr>
      <w:r w:rsidRPr="00576C3D">
        <w:t>Norske boligbyggelags landsforbund</w:t>
      </w:r>
    </w:p>
    <w:p w14:paraId="52879601" w14:textId="77777777" w:rsidR="005D314E" w:rsidRPr="00576C3D" w:rsidRDefault="005D314E" w:rsidP="00576C3D">
      <w:pPr>
        <w:pStyle w:val="opplisting"/>
      </w:pPr>
      <w:r w:rsidRPr="00576C3D">
        <w:t>Rådgivende ingeniørers forening</w:t>
      </w:r>
    </w:p>
    <w:p w14:paraId="36928A44" w14:textId="77777777" w:rsidR="005D314E" w:rsidRPr="00576C3D" w:rsidRDefault="005D314E" w:rsidP="00576C3D">
      <w:pPr>
        <w:pStyle w:val="opplisting"/>
      </w:pPr>
      <w:r w:rsidRPr="00576C3D">
        <w:t>Samfunnsbedriftene</w:t>
      </w:r>
    </w:p>
    <w:p w14:paraId="2ECF2DBE" w14:textId="77777777" w:rsidR="005D314E" w:rsidRPr="00576C3D" w:rsidRDefault="005D314E" w:rsidP="00576C3D">
      <w:pPr>
        <w:pStyle w:val="opplisting"/>
      </w:pPr>
      <w:r w:rsidRPr="00576C3D">
        <w:t>Småkraftforeninga</w:t>
      </w:r>
    </w:p>
    <w:p w14:paraId="5D1AA019" w14:textId="77777777" w:rsidR="005D314E" w:rsidRPr="00576C3D" w:rsidRDefault="005D314E" w:rsidP="00576C3D">
      <w:pPr>
        <w:pStyle w:val="opplisting"/>
      </w:pPr>
      <w:proofErr w:type="spellStart"/>
      <w:r w:rsidRPr="00576C3D">
        <w:t>Unio</w:t>
      </w:r>
      <w:proofErr w:type="spellEnd"/>
    </w:p>
    <w:p w14:paraId="617CC342" w14:textId="77777777" w:rsidR="005D314E" w:rsidRPr="00576C3D" w:rsidRDefault="005D314E" w:rsidP="00576C3D">
      <w:pPr>
        <w:pStyle w:val="opplisting"/>
      </w:pPr>
      <w:r w:rsidRPr="00576C3D">
        <w:t>Yrkesorganisasjonenes Sentralforbund</w:t>
      </w:r>
    </w:p>
    <w:p w14:paraId="0A5BB590" w14:textId="77777777" w:rsidR="005D314E" w:rsidRPr="00576C3D" w:rsidRDefault="005D314E" w:rsidP="00576C3D">
      <w:pPr>
        <w:pStyle w:val="opplisting"/>
      </w:pPr>
      <w:r w:rsidRPr="00576C3D">
        <w:t>Avfall Norge</w:t>
      </w:r>
    </w:p>
    <w:p w14:paraId="7B510F14" w14:textId="77777777" w:rsidR="005D314E" w:rsidRPr="00576C3D" w:rsidRDefault="005D314E" w:rsidP="00576C3D">
      <w:pPr>
        <w:pStyle w:val="opplisting"/>
      </w:pPr>
      <w:r w:rsidRPr="00576C3D">
        <w:t>Bygg og Bevar</w:t>
      </w:r>
    </w:p>
    <w:p w14:paraId="6FBC7430" w14:textId="77777777" w:rsidR="005D314E" w:rsidRPr="00576C3D" w:rsidRDefault="005D314E" w:rsidP="00576C3D">
      <w:pPr>
        <w:pStyle w:val="opplisting"/>
      </w:pPr>
      <w:r w:rsidRPr="00576C3D">
        <w:t>Europabevegelsen</w:t>
      </w:r>
    </w:p>
    <w:p w14:paraId="2BC25471" w14:textId="77777777" w:rsidR="005D314E" w:rsidRPr="00576C3D" w:rsidRDefault="005D314E" w:rsidP="00576C3D">
      <w:pPr>
        <w:pStyle w:val="opplisting"/>
      </w:pPr>
      <w:r w:rsidRPr="00576C3D">
        <w:t>Forum for utvikling og miljø</w:t>
      </w:r>
    </w:p>
    <w:p w14:paraId="592E4865" w14:textId="77777777" w:rsidR="005D314E" w:rsidRPr="00576C3D" w:rsidRDefault="005D314E" w:rsidP="00576C3D">
      <w:pPr>
        <w:pStyle w:val="opplisting"/>
      </w:pPr>
      <w:r w:rsidRPr="00576C3D">
        <w:t>Framtiden i våre hender</w:t>
      </w:r>
    </w:p>
    <w:p w14:paraId="5F9C2042" w14:textId="77777777" w:rsidR="005D314E" w:rsidRPr="00576C3D" w:rsidRDefault="005D314E" w:rsidP="00576C3D">
      <w:pPr>
        <w:pStyle w:val="opplisting"/>
      </w:pPr>
      <w:r w:rsidRPr="00576C3D">
        <w:t>Greenpeace</w:t>
      </w:r>
    </w:p>
    <w:p w14:paraId="038E6E74" w14:textId="77777777" w:rsidR="005D314E" w:rsidRPr="00576C3D" w:rsidRDefault="005D314E" w:rsidP="00576C3D">
      <w:pPr>
        <w:pStyle w:val="opplisting"/>
      </w:pPr>
      <w:r w:rsidRPr="00576C3D">
        <w:t>Miljøstiftelsen Bellona</w:t>
      </w:r>
    </w:p>
    <w:p w14:paraId="0A300FE4" w14:textId="77777777" w:rsidR="005D314E" w:rsidRPr="00576C3D" w:rsidRDefault="005D314E" w:rsidP="00576C3D">
      <w:pPr>
        <w:pStyle w:val="opplisting"/>
      </w:pPr>
      <w:r w:rsidRPr="00576C3D">
        <w:t>Natur og ungdom</w:t>
      </w:r>
    </w:p>
    <w:p w14:paraId="70DE56B2" w14:textId="77777777" w:rsidR="005D314E" w:rsidRPr="00576C3D" w:rsidRDefault="005D314E" w:rsidP="00576C3D">
      <w:pPr>
        <w:pStyle w:val="opplisting"/>
      </w:pPr>
      <w:r w:rsidRPr="00576C3D">
        <w:t>Naturvernforbundet</w:t>
      </w:r>
    </w:p>
    <w:p w14:paraId="1CB0E5B3" w14:textId="77777777" w:rsidR="005D314E" w:rsidRPr="00576C3D" w:rsidRDefault="005D314E" w:rsidP="00576C3D">
      <w:pPr>
        <w:pStyle w:val="opplisting"/>
      </w:pPr>
      <w:r w:rsidRPr="00576C3D">
        <w:t>Norges miljøvernforbund</w:t>
      </w:r>
    </w:p>
    <w:p w14:paraId="4968C165" w14:textId="77777777" w:rsidR="005D314E" w:rsidRPr="00576C3D" w:rsidRDefault="005D314E" w:rsidP="00576C3D">
      <w:pPr>
        <w:pStyle w:val="opplisting"/>
      </w:pPr>
      <w:r w:rsidRPr="00576C3D">
        <w:t>Regnskogfondet</w:t>
      </w:r>
    </w:p>
    <w:p w14:paraId="52D01077" w14:textId="77777777" w:rsidR="005D314E" w:rsidRPr="00576C3D" w:rsidRDefault="005D314E" w:rsidP="00576C3D">
      <w:pPr>
        <w:pStyle w:val="opplisting"/>
      </w:pPr>
      <w:r w:rsidRPr="00576C3D">
        <w:t>Røde Kors</w:t>
      </w:r>
    </w:p>
    <w:p w14:paraId="131477BB" w14:textId="77777777" w:rsidR="005D314E" w:rsidRPr="00576C3D" w:rsidRDefault="005D314E" w:rsidP="00576C3D">
      <w:pPr>
        <w:pStyle w:val="opplisting"/>
      </w:pPr>
      <w:r w:rsidRPr="00576C3D">
        <w:t>SABIMA</w:t>
      </w:r>
    </w:p>
    <w:p w14:paraId="1341F3E3" w14:textId="77777777" w:rsidR="005D314E" w:rsidRPr="00576C3D" w:rsidRDefault="005D314E" w:rsidP="00576C3D">
      <w:pPr>
        <w:pStyle w:val="opplisting"/>
      </w:pPr>
      <w:r w:rsidRPr="00576C3D">
        <w:t>Spire</w:t>
      </w:r>
    </w:p>
    <w:p w14:paraId="643612B8" w14:textId="77777777" w:rsidR="005D314E" w:rsidRPr="00576C3D" w:rsidRDefault="005D314E" w:rsidP="00576C3D">
      <w:pPr>
        <w:pStyle w:val="opplisting"/>
      </w:pPr>
      <w:r w:rsidRPr="00576C3D">
        <w:t>Styrke</w:t>
      </w:r>
    </w:p>
    <w:p w14:paraId="09791316" w14:textId="77777777" w:rsidR="005D314E" w:rsidRPr="00576C3D" w:rsidRDefault="005D314E" w:rsidP="00576C3D">
      <w:pPr>
        <w:pStyle w:val="opplisting"/>
      </w:pPr>
      <w:r w:rsidRPr="00576C3D">
        <w:t>ZERO</w:t>
      </w:r>
    </w:p>
    <w:p w14:paraId="04DDD83C" w14:textId="77777777" w:rsidR="005D314E" w:rsidRPr="00576C3D" w:rsidRDefault="005D314E" w:rsidP="00576C3D">
      <w:pPr>
        <w:pStyle w:val="opplisting"/>
      </w:pPr>
      <w:proofErr w:type="spellStart"/>
      <w:r w:rsidRPr="00576C3D">
        <w:t>Bjerknessenteret</w:t>
      </w:r>
      <w:proofErr w:type="spellEnd"/>
      <w:r w:rsidRPr="00576C3D">
        <w:t xml:space="preserve"> for klimaforskning</w:t>
      </w:r>
    </w:p>
    <w:p w14:paraId="4DBD33D6" w14:textId="77777777" w:rsidR="005D314E" w:rsidRPr="00576C3D" w:rsidRDefault="005D314E" w:rsidP="00576C3D">
      <w:pPr>
        <w:pStyle w:val="opplisting"/>
      </w:pPr>
      <w:r w:rsidRPr="00576C3D">
        <w:t>CICERO Senter for klimaforskning</w:t>
      </w:r>
    </w:p>
    <w:p w14:paraId="6E7A81DD" w14:textId="77777777" w:rsidR="005D314E" w:rsidRPr="00576C3D" w:rsidRDefault="005D314E" w:rsidP="00576C3D">
      <w:pPr>
        <w:pStyle w:val="opplisting"/>
      </w:pPr>
      <w:r w:rsidRPr="00576C3D">
        <w:t>Fridtjof Nansens Institutt</w:t>
      </w:r>
    </w:p>
    <w:p w14:paraId="6CD4F56A" w14:textId="77777777" w:rsidR="005D314E" w:rsidRPr="00576C3D" w:rsidRDefault="005D314E" w:rsidP="00576C3D">
      <w:pPr>
        <w:pStyle w:val="opplisting"/>
      </w:pPr>
      <w:r w:rsidRPr="00576C3D">
        <w:t>SINTEF</w:t>
      </w:r>
    </w:p>
    <w:p w14:paraId="40D7E6B5" w14:textId="77777777" w:rsidR="005D314E" w:rsidRPr="00576C3D" w:rsidRDefault="005D314E" w:rsidP="00576C3D">
      <w:pPr>
        <w:pStyle w:val="opplisting"/>
      </w:pPr>
      <w:r w:rsidRPr="00576C3D">
        <w:t>Handelshøyskolen BI</w:t>
      </w:r>
    </w:p>
    <w:p w14:paraId="35BA89B1" w14:textId="77777777" w:rsidR="005D314E" w:rsidRPr="00576C3D" w:rsidRDefault="005D314E" w:rsidP="00576C3D">
      <w:pPr>
        <w:pStyle w:val="opplisting"/>
      </w:pPr>
      <w:r w:rsidRPr="00576C3D">
        <w:t>Boligbyggelaget USBL</w:t>
      </w:r>
    </w:p>
    <w:p w14:paraId="544D5EB3" w14:textId="77777777" w:rsidR="002C40BD" w:rsidRDefault="005D314E" w:rsidP="00576C3D">
      <w:r w:rsidRPr="00576C3D">
        <w:t xml:space="preserve">Departementet mottok realitetsuttalelser fra: </w:t>
      </w:r>
    </w:p>
    <w:p w14:paraId="6D7FD027" w14:textId="490EB548" w:rsidR="005D314E" w:rsidRPr="00576C3D" w:rsidRDefault="005D314E" w:rsidP="00576C3D">
      <w:r w:rsidRPr="00576C3D">
        <w:t xml:space="preserve"> </w:t>
      </w:r>
    </w:p>
    <w:p w14:paraId="5B61673F" w14:textId="77777777" w:rsidR="005D314E" w:rsidRPr="00576C3D" w:rsidRDefault="005D314E" w:rsidP="00576C3D">
      <w:pPr>
        <w:pStyle w:val="opplisting"/>
      </w:pPr>
      <w:r w:rsidRPr="00576C3D">
        <w:t>Forsvarsdepartementet</w:t>
      </w:r>
    </w:p>
    <w:p w14:paraId="42C2B820" w14:textId="77777777" w:rsidR="005D314E" w:rsidRPr="00576C3D" w:rsidRDefault="005D314E" w:rsidP="00576C3D">
      <w:pPr>
        <w:pStyle w:val="opplisting"/>
      </w:pPr>
      <w:r w:rsidRPr="00576C3D">
        <w:t>Tolletaten</w:t>
      </w:r>
    </w:p>
    <w:p w14:paraId="431E6E1B" w14:textId="77777777" w:rsidR="005D314E" w:rsidRPr="00576C3D" w:rsidRDefault="005D314E" w:rsidP="00576C3D">
      <w:pPr>
        <w:pStyle w:val="opplisting"/>
      </w:pPr>
      <w:r w:rsidRPr="00576C3D">
        <w:t>Posten</w:t>
      </w:r>
    </w:p>
    <w:p w14:paraId="0172CA6B" w14:textId="77777777" w:rsidR="005D314E" w:rsidRPr="00576C3D" w:rsidRDefault="005D314E" w:rsidP="00576C3D">
      <w:pPr>
        <w:pStyle w:val="opplisting"/>
      </w:pPr>
      <w:r w:rsidRPr="00576C3D">
        <w:t>Statkraft</w:t>
      </w:r>
    </w:p>
    <w:p w14:paraId="2BCC1EB9" w14:textId="77777777" w:rsidR="005D314E" w:rsidRPr="00576C3D" w:rsidRDefault="005D314E" w:rsidP="00576C3D">
      <w:pPr>
        <w:pStyle w:val="opplisting"/>
      </w:pPr>
      <w:r w:rsidRPr="00576C3D">
        <w:t>Statnett SF</w:t>
      </w:r>
    </w:p>
    <w:p w14:paraId="50C36D5C" w14:textId="77777777" w:rsidR="005D314E" w:rsidRPr="00576C3D" w:rsidRDefault="005D314E" w:rsidP="00576C3D">
      <w:pPr>
        <w:pStyle w:val="opplisting"/>
      </w:pPr>
      <w:r w:rsidRPr="00576C3D">
        <w:t>Heidelberg</w:t>
      </w:r>
    </w:p>
    <w:p w14:paraId="744732B4" w14:textId="77777777" w:rsidR="005D314E" w:rsidRPr="00576C3D" w:rsidRDefault="005D314E" w:rsidP="00576C3D">
      <w:pPr>
        <w:pStyle w:val="opplisting"/>
      </w:pPr>
      <w:r w:rsidRPr="00576C3D">
        <w:t>Hydro</w:t>
      </w:r>
    </w:p>
    <w:p w14:paraId="6A712876" w14:textId="77777777" w:rsidR="005D314E" w:rsidRPr="00576C3D" w:rsidRDefault="005D314E" w:rsidP="00576C3D">
      <w:pPr>
        <w:pStyle w:val="opplisting"/>
      </w:pPr>
      <w:r w:rsidRPr="00576C3D">
        <w:t>Sumitomo Corporation Europe</w:t>
      </w:r>
    </w:p>
    <w:p w14:paraId="122A277D" w14:textId="77777777" w:rsidR="005D314E" w:rsidRPr="00576C3D" w:rsidRDefault="005D314E" w:rsidP="00576C3D">
      <w:pPr>
        <w:pStyle w:val="opplisting"/>
      </w:pPr>
      <w:r w:rsidRPr="00576C3D">
        <w:t>Yara</w:t>
      </w:r>
    </w:p>
    <w:p w14:paraId="76399A1C" w14:textId="77777777" w:rsidR="005D314E" w:rsidRPr="00576C3D" w:rsidRDefault="005D314E" w:rsidP="00576C3D">
      <w:pPr>
        <w:pStyle w:val="opplisting"/>
      </w:pPr>
      <w:r w:rsidRPr="00576C3D">
        <w:t>Abelia</w:t>
      </w:r>
    </w:p>
    <w:p w14:paraId="1ADA0AC0" w14:textId="77777777" w:rsidR="005D314E" w:rsidRPr="00576C3D" w:rsidRDefault="005D314E" w:rsidP="00576C3D">
      <w:pPr>
        <w:pStyle w:val="opplisting"/>
      </w:pPr>
      <w:r w:rsidRPr="00576C3D">
        <w:t>Kirkens Nødhjelp</w:t>
      </w:r>
    </w:p>
    <w:p w14:paraId="39DB34DA" w14:textId="77777777" w:rsidR="005D314E" w:rsidRPr="00576C3D" w:rsidRDefault="005D314E" w:rsidP="00576C3D">
      <w:pPr>
        <w:pStyle w:val="opplisting"/>
      </w:pPr>
      <w:r w:rsidRPr="00576C3D">
        <w:t>LO</w:t>
      </w:r>
    </w:p>
    <w:p w14:paraId="29876584" w14:textId="77777777" w:rsidR="005D314E" w:rsidRPr="00576C3D" w:rsidRDefault="005D314E" w:rsidP="00576C3D">
      <w:pPr>
        <w:pStyle w:val="opplisting"/>
      </w:pPr>
      <w:r w:rsidRPr="00576C3D">
        <w:t>Naturvernforbundet</w:t>
      </w:r>
    </w:p>
    <w:p w14:paraId="4A4E3605" w14:textId="77777777" w:rsidR="005D314E" w:rsidRPr="00576C3D" w:rsidRDefault="005D314E" w:rsidP="00576C3D">
      <w:pPr>
        <w:pStyle w:val="opplisting"/>
      </w:pPr>
      <w:r w:rsidRPr="00576C3D">
        <w:t>NHO</w:t>
      </w:r>
    </w:p>
    <w:p w14:paraId="357B3914" w14:textId="77777777" w:rsidR="005D314E" w:rsidRPr="00576C3D" w:rsidRDefault="005D314E" w:rsidP="00576C3D">
      <w:pPr>
        <w:pStyle w:val="opplisting"/>
      </w:pPr>
      <w:r w:rsidRPr="00576C3D">
        <w:t>Norsk Hydrogenforum</w:t>
      </w:r>
    </w:p>
    <w:p w14:paraId="5349973F" w14:textId="77777777" w:rsidR="005D314E" w:rsidRPr="00576C3D" w:rsidRDefault="005D314E" w:rsidP="00576C3D">
      <w:pPr>
        <w:pStyle w:val="opplisting"/>
      </w:pPr>
      <w:r w:rsidRPr="00576C3D">
        <w:t>Norsk Industri</w:t>
      </w:r>
    </w:p>
    <w:p w14:paraId="493C23B4" w14:textId="77777777" w:rsidR="005D314E" w:rsidRPr="00576C3D" w:rsidRDefault="005D314E" w:rsidP="00576C3D">
      <w:pPr>
        <w:pStyle w:val="opplisting"/>
      </w:pPr>
      <w:r w:rsidRPr="00576C3D">
        <w:t>Offshore Norge</w:t>
      </w:r>
    </w:p>
    <w:p w14:paraId="233285BC" w14:textId="77777777" w:rsidR="005D314E" w:rsidRPr="00576C3D" w:rsidRDefault="005D314E" w:rsidP="00576C3D">
      <w:pPr>
        <w:pStyle w:val="opplisting"/>
      </w:pPr>
      <w:proofErr w:type="spellStart"/>
      <w:r w:rsidRPr="00576C3D">
        <w:t>Unio</w:t>
      </w:r>
      <w:proofErr w:type="spellEnd"/>
    </w:p>
    <w:p w14:paraId="644152DD" w14:textId="77777777" w:rsidR="005D314E" w:rsidRPr="00576C3D" w:rsidRDefault="005D314E" w:rsidP="00576C3D">
      <w:pPr>
        <w:pStyle w:val="opplisting"/>
      </w:pPr>
      <w:r w:rsidRPr="00576C3D">
        <w:t>Virke</w:t>
      </w:r>
    </w:p>
    <w:p w14:paraId="3914D2C2" w14:textId="77777777" w:rsidR="005D314E" w:rsidRPr="00576C3D" w:rsidRDefault="005D314E" w:rsidP="00576C3D">
      <w:pPr>
        <w:pStyle w:val="opplisting"/>
      </w:pPr>
      <w:r w:rsidRPr="00576C3D">
        <w:t>Zero</w:t>
      </w:r>
    </w:p>
    <w:p w14:paraId="6EE63A95" w14:textId="77777777" w:rsidR="005D314E" w:rsidRPr="00576C3D" w:rsidRDefault="005D314E" w:rsidP="00576C3D">
      <w:pPr>
        <w:pStyle w:val="opplisting"/>
      </w:pPr>
      <w:r w:rsidRPr="00576C3D">
        <w:t>Privatperson Trond Åmås</w:t>
      </w:r>
    </w:p>
    <w:p w14:paraId="11626BBB" w14:textId="77777777" w:rsidR="005D314E" w:rsidRPr="00576C3D" w:rsidRDefault="005D314E" w:rsidP="00576C3D">
      <w:r w:rsidRPr="00576C3D">
        <w:t>Følgende instanser uttrykte at de ikke hadde merknader eller ikke ønsker å uttale seg:</w:t>
      </w:r>
    </w:p>
    <w:p w14:paraId="07CB9351" w14:textId="77777777" w:rsidR="005D314E" w:rsidRPr="00576C3D" w:rsidRDefault="005D314E" w:rsidP="00576C3D">
      <w:r w:rsidRPr="00576C3D">
        <w:t xml:space="preserve"> </w:t>
      </w:r>
    </w:p>
    <w:p w14:paraId="27DF4E9D" w14:textId="77777777" w:rsidR="005D314E" w:rsidRPr="00576C3D" w:rsidRDefault="005D314E" w:rsidP="00576C3D">
      <w:pPr>
        <w:pStyle w:val="opplisting"/>
      </w:pPr>
      <w:r w:rsidRPr="00576C3D">
        <w:t>Justis- og beredskapsdepartementet</w:t>
      </w:r>
    </w:p>
    <w:p w14:paraId="3CD79BC0" w14:textId="77777777" w:rsidR="005D314E" w:rsidRPr="00576C3D" w:rsidRDefault="005D314E" w:rsidP="00576C3D">
      <w:pPr>
        <w:pStyle w:val="opplisting"/>
      </w:pPr>
      <w:r w:rsidRPr="00576C3D">
        <w:t>Nærings- og fiskeridepartementet</w:t>
      </w:r>
    </w:p>
    <w:p w14:paraId="367EEFDD" w14:textId="77777777" w:rsidR="005D314E" w:rsidRPr="00576C3D" w:rsidRDefault="005D314E" w:rsidP="00576C3D">
      <w:r w:rsidRPr="00576C3D">
        <w:t xml:space="preserve"> </w:t>
      </w:r>
    </w:p>
    <w:p w14:paraId="3EC4C654" w14:textId="77777777" w:rsidR="005D314E" w:rsidRPr="00576C3D" w:rsidRDefault="005D314E" w:rsidP="00576C3D">
      <w:pPr>
        <w:pStyle w:val="opplisting"/>
      </w:pPr>
      <w:r w:rsidRPr="00576C3D">
        <w:t xml:space="preserve">Direktoratet for </w:t>
      </w:r>
      <w:proofErr w:type="spellStart"/>
      <w:r w:rsidRPr="00576C3D">
        <w:t>byggkvalitet</w:t>
      </w:r>
      <w:proofErr w:type="spellEnd"/>
    </w:p>
    <w:p w14:paraId="1DF96493" w14:textId="77777777" w:rsidR="005D314E" w:rsidRPr="00576C3D" w:rsidRDefault="005D314E" w:rsidP="00576C3D">
      <w:pPr>
        <w:pStyle w:val="opplisting"/>
      </w:pPr>
      <w:r w:rsidRPr="00576C3D">
        <w:t>NVE</w:t>
      </w:r>
    </w:p>
    <w:p w14:paraId="03943000" w14:textId="77777777" w:rsidR="005D314E" w:rsidRPr="00576C3D" w:rsidRDefault="005D314E" w:rsidP="00576C3D">
      <w:pPr>
        <w:pStyle w:val="opplisting"/>
      </w:pPr>
      <w:r w:rsidRPr="00576C3D">
        <w:t>Skattedirektoratet</w:t>
      </w:r>
    </w:p>
    <w:p w14:paraId="6702263F" w14:textId="77777777" w:rsidR="005D314E" w:rsidRPr="00576C3D" w:rsidRDefault="005D314E" w:rsidP="00576C3D">
      <w:pPr>
        <w:pStyle w:val="opplisting"/>
      </w:pPr>
      <w:r w:rsidRPr="00576C3D">
        <w:t>Statistisk sentralbyrå</w:t>
      </w:r>
    </w:p>
    <w:p w14:paraId="58822C35" w14:textId="77777777" w:rsidR="005D314E" w:rsidRPr="00576C3D" w:rsidRDefault="005D314E" w:rsidP="00576C3D">
      <w:pPr>
        <w:pStyle w:val="opplisting"/>
      </w:pPr>
      <w:r w:rsidRPr="00576C3D">
        <w:t>NHO Transport</w:t>
      </w:r>
    </w:p>
    <w:p w14:paraId="14E6C79F" w14:textId="77777777" w:rsidR="005D314E" w:rsidRPr="00576C3D" w:rsidRDefault="005D314E" w:rsidP="00576C3D">
      <w:r w:rsidRPr="00576C3D">
        <w:t>Høringsinnspillene er omtalt i punkt 2.4 og i tilknytning til de enkelte forslagene til CBAM-loven i punkt 5. Alle høringsinnspillene er tilgjengelige på regjeringens nettsider.</w:t>
      </w:r>
    </w:p>
    <w:p w14:paraId="7484D47C" w14:textId="77777777" w:rsidR="005D314E" w:rsidRPr="00576C3D" w:rsidRDefault="005D314E" w:rsidP="00576C3D">
      <w:pPr>
        <w:pStyle w:val="Overskrift2"/>
      </w:pPr>
      <w:r w:rsidRPr="00576C3D">
        <w:t>Overordnede høringsinnspill</w:t>
      </w:r>
    </w:p>
    <w:p w14:paraId="26D87BF4" w14:textId="77777777" w:rsidR="005D314E" w:rsidRPr="00576C3D" w:rsidRDefault="005D314E" w:rsidP="00576C3D">
      <w:pPr>
        <w:pStyle w:val="Overskrift3"/>
      </w:pPr>
      <w:r w:rsidRPr="00576C3D">
        <w:t>Innledning</w:t>
      </w:r>
    </w:p>
    <w:p w14:paraId="5A18107D" w14:textId="77777777" w:rsidR="005D314E" w:rsidRPr="00576C3D" w:rsidRDefault="005D314E" w:rsidP="00576C3D">
      <w:r w:rsidRPr="00576C3D">
        <w:t>Klima- og miljødepartementet har mottatt til sammen 28 høringsinnspill. De fleste høringsinstansene støtter at CBAM innlemmes i EØS-avtalen og forslaget til ny CBAM-lov. Det er kommet enkelte innspill til lovforslaget og gjennomføringen av CBAM-forordningen i norsk rett. Disse omtales i punkt 2.4.3.</w:t>
      </w:r>
    </w:p>
    <w:p w14:paraId="683D64DF" w14:textId="77777777" w:rsidR="005D314E" w:rsidRPr="00576C3D" w:rsidRDefault="005D314E" w:rsidP="00576C3D">
      <w:r w:rsidRPr="00576C3D">
        <w:t>Det er kommet en del innspill som har relevans for den fremtidige forvaltningen av CBAM i Norge, men som ikke har direkte betydning for lovforslaget og gjennomføringen av CBAM-forordningen i CBAM-loven. Disse høringsinnspillene oppsummeres i punkt 2.4.4. Departementet har ikke sett grunn til å inkludere vurderinger av disse innspillene, siden innspillene ikke har direkte relevans for bestemmelser i loven.</w:t>
      </w:r>
    </w:p>
    <w:p w14:paraId="1653BA92" w14:textId="77777777" w:rsidR="005D314E" w:rsidRPr="00576C3D" w:rsidRDefault="005D314E" w:rsidP="00576C3D">
      <w:r w:rsidRPr="00576C3D">
        <w:t>Flere av innspillene vil departementet komme tilbake til i det videre arbeidet med CBAM, herunder i forbindelse med gjennomføringen av underliggende rettsakter til CBAM-forordningen i forskrift. Dette gjelder for eksempel behovet for veiledning og nasjonale kontaktpunkter, hvor det i forordning (EU) 2024/3210 om CBAM-registeret (CBAM-registerforordningen) er bestemmelser som omhandler dette.</w:t>
      </w:r>
    </w:p>
    <w:p w14:paraId="25293AAC" w14:textId="77777777" w:rsidR="005D314E" w:rsidRPr="00576C3D" w:rsidRDefault="005D314E" w:rsidP="00576C3D">
      <w:r w:rsidRPr="00576C3D">
        <w:t>Til slutt har det kommet en del innspill som ikke er direkte knyttet til CBAM, men som omhandler andre virkemidler eller tilstøtende regelsett. Disse innspillene oppsummeres i punkt 2.4.5.</w:t>
      </w:r>
    </w:p>
    <w:p w14:paraId="39BCA4D6" w14:textId="77777777" w:rsidR="005D314E" w:rsidRPr="00576C3D" w:rsidRDefault="005D314E" w:rsidP="00576C3D">
      <w:pPr>
        <w:pStyle w:val="Overskrift3"/>
      </w:pPr>
      <w:r w:rsidRPr="00576C3D">
        <w:t>Overordnet støtte til forslaget om en ny CBAM-lov</w:t>
      </w:r>
    </w:p>
    <w:p w14:paraId="150C831B" w14:textId="77777777" w:rsidR="005D314E" w:rsidRPr="00576C3D" w:rsidRDefault="005D314E" w:rsidP="00576C3D">
      <w:pPr>
        <w:rPr>
          <w:rStyle w:val="kursiv"/>
        </w:rPr>
      </w:pPr>
      <w:r w:rsidRPr="00576C3D">
        <w:rPr>
          <w:rStyle w:val="kursiv"/>
        </w:rPr>
        <w:t>Abelia</w:t>
      </w:r>
      <w:r w:rsidRPr="00576C3D">
        <w:t xml:space="preserve">, </w:t>
      </w:r>
      <w:r w:rsidRPr="00576C3D">
        <w:rPr>
          <w:rStyle w:val="kursiv"/>
        </w:rPr>
        <w:t>Heidelberg Materials Norway,</w:t>
      </w:r>
      <w:r w:rsidRPr="00576C3D">
        <w:t xml:space="preserve"> </w:t>
      </w:r>
      <w:r w:rsidRPr="00576C3D">
        <w:rPr>
          <w:rStyle w:val="kursiv"/>
        </w:rPr>
        <w:t>Hovedorganisasjonen Virke</w:t>
      </w:r>
      <w:r w:rsidRPr="00576C3D">
        <w:t xml:space="preserve">, </w:t>
      </w:r>
      <w:r w:rsidRPr="00576C3D">
        <w:rPr>
          <w:rStyle w:val="kursiv"/>
        </w:rPr>
        <w:t>Kirkens Nødhjelp</w:t>
      </w:r>
      <w:r w:rsidRPr="00576C3D">
        <w:t>,</w:t>
      </w:r>
      <w:r w:rsidRPr="00576C3D">
        <w:rPr>
          <w:rStyle w:val="kursiv"/>
        </w:rPr>
        <w:t xml:space="preserve"> LO Norge</w:t>
      </w:r>
      <w:r w:rsidRPr="00576C3D">
        <w:t xml:space="preserve">, </w:t>
      </w:r>
      <w:r w:rsidRPr="00576C3D">
        <w:rPr>
          <w:rStyle w:val="kursiv"/>
        </w:rPr>
        <w:t>Naturvernforbundet</w:t>
      </w:r>
      <w:r w:rsidRPr="00576C3D">
        <w:t xml:space="preserve">, </w:t>
      </w:r>
      <w:r w:rsidRPr="00576C3D">
        <w:rPr>
          <w:rStyle w:val="kursiv"/>
        </w:rPr>
        <w:t>Norsk Hydro ASA</w:t>
      </w:r>
      <w:r w:rsidRPr="00576C3D">
        <w:t xml:space="preserve">, </w:t>
      </w:r>
      <w:r w:rsidRPr="00576C3D">
        <w:rPr>
          <w:rStyle w:val="kursiv"/>
        </w:rPr>
        <w:t>Norsk Hydrogenforum</w:t>
      </w:r>
      <w:r w:rsidRPr="00576C3D">
        <w:t xml:space="preserve">, </w:t>
      </w:r>
      <w:r w:rsidRPr="00576C3D">
        <w:rPr>
          <w:rStyle w:val="kursiv"/>
        </w:rPr>
        <w:t>Norsk Industri</w:t>
      </w:r>
      <w:r w:rsidRPr="00576C3D">
        <w:t xml:space="preserve">, </w:t>
      </w:r>
      <w:r w:rsidRPr="00576C3D">
        <w:rPr>
          <w:rStyle w:val="kursiv"/>
        </w:rPr>
        <w:t>Næringslivets hovedorganisasjon (NHO)</w:t>
      </w:r>
      <w:r w:rsidRPr="00576C3D">
        <w:t xml:space="preserve">, </w:t>
      </w:r>
      <w:r w:rsidRPr="00576C3D">
        <w:rPr>
          <w:rStyle w:val="kursiv"/>
        </w:rPr>
        <w:t>Posten Bring ASA</w:t>
      </w:r>
      <w:r w:rsidRPr="00576C3D">
        <w:t xml:space="preserve">, </w:t>
      </w:r>
      <w:r w:rsidRPr="00576C3D">
        <w:rPr>
          <w:rStyle w:val="kursiv"/>
        </w:rPr>
        <w:t>Statkraft AS</w:t>
      </w:r>
      <w:r w:rsidRPr="00576C3D">
        <w:t xml:space="preserve">, </w:t>
      </w:r>
      <w:r w:rsidRPr="00576C3D">
        <w:rPr>
          <w:rStyle w:val="kursiv"/>
        </w:rPr>
        <w:t xml:space="preserve">Tolletaten, </w:t>
      </w:r>
      <w:proofErr w:type="spellStart"/>
      <w:r w:rsidRPr="00576C3D">
        <w:rPr>
          <w:rStyle w:val="kursiv"/>
        </w:rPr>
        <w:t>Unio</w:t>
      </w:r>
      <w:proofErr w:type="spellEnd"/>
      <w:r w:rsidRPr="00576C3D">
        <w:rPr>
          <w:rStyle w:val="kursiv"/>
        </w:rPr>
        <w:t xml:space="preserve"> </w:t>
      </w:r>
      <w:r w:rsidRPr="00576C3D">
        <w:t>og</w:t>
      </w:r>
      <w:r w:rsidRPr="00576C3D">
        <w:rPr>
          <w:rStyle w:val="kursiv"/>
        </w:rPr>
        <w:t xml:space="preserve"> ZERO</w:t>
      </w:r>
      <w:r w:rsidRPr="00576C3D">
        <w:t xml:space="preserve"> støtter at CBAM innlemmes i EØS-avtalen og forslaget til ny CBAM-lov.</w:t>
      </w:r>
    </w:p>
    <w:p w14:paraId="1C0E62BA" w14:textId="77777777" w:rsidR="005D314E" w:rsidRPr="00576C3D" w:rsidRDefault="005D314E" w:rsidP="00576C3D">
      <w:r w:rsidRPr="00576C3D">
        <w:t xml:space="preserve">Flere høringsinstanser, blant annet </w:t>
      </w:r>
      <w:r w:rsidRPr="00576C3D">
        <w:rPr>
          <w:rStyle w:val="kursiv"/>
        </w:rPr>
        <w:t>Heidelberg Materials Norway, Hovedorganisasjonen Virke, LO Norge, Norsk Hydrogenforum, Norsk Industri, Næringslivets hovedorganisasjon (NHO)</w:t>
      </w:r>
      <w:r w:rsidRPr="00576C3D">
        <w:t xml:space="preserve"> og</w:t>
      </w:r>
      <w:r w:rsidRPr="00576C3D">
        <w:rPr>
          <w:rStyle w:val="kursiv"/>
        </w:rPr>
        <w:t xml:space="preserve"> ZERO</w:t>
      </w:r>
      <w:r w:rsidRPr="00576C3D">
        <w:t xml:space="preserve">, viser til betydningen av like rammebetingelser og konkurransevilkår for norsk industri. </w:t>
      </w:r>
      <w:r w:rsidRPr="00576C3D">
        <w:rPr>
          <w:rStyle w:val="kursiv"/>
        </w:rPr>
        <w:t xml:space="preserve">Norsk Hydrogenforum, Næringslivets hovedorganisasjon (NHO) </w:t>
      </w:r>
      <w:proofErr w:type="spellStart"/>
      <w:r w:rsidRPr="00576C3D">
        <w:rPr>
          <w:rStyle w:val="kursiv"/>
        </w:rPr>
        <w:t>Unio</w:t>
      </w:r>
      <w:proofErr w:type="spellEnd"/>
      <w:r w:rsidRPr="00576C3D">
        <w:t xml:space="preserve"> og </w:t>
      </w:r>
      <w:r w:rsidRPr="00576C3D">
        <w:rPr>
          <w:rStyle w:val="kursiv"/>
        </w:rPr>
        <w:t>ZERO</w:t>
      </w:r>
      <w:r w:rsidRPr="00576C3D">
        <w:t xml:space="preserve"> ønsker at CBAM trer i kraft i Norge så fort som mulig for å sikre like rammevilkår for norske og europeiske bedrifter.</w:t>
      </w:r>
    </w:p>
    <w:p w14:paraId="6EEE2AB9" w14:textId="77777777" w:rsidR="005D314E" w:rsidRPr="00576C3D" w:rsidRDefault="005D314E" w:rsidP="00576C3D">
      <w:pPr>
        <w:rPr>
          <w:rStyle w:val="kursiv"/>
        </w:rPr>
      </w:pPr>
      <w:r w:rsidRPr="00576C3D">
        <w:rPr>
          <w:rStyle w:val="kursiv"/>
        </w:rPr>
        <w:t xml:space="preserve">Kirkens Nødhjelp, LO Norge, Naturvernforbundet, Norsk Hydrogenforum, Norsk Industri, Statkraft AS, </w:t>
      </w:r>
      <w:proofErr w:type="spellStart"/>
      <w:r w:rsidRPr="00576C3D">
        <w:rPr>
          <w:rStyle w:val="kursiv"/>
        </w:rPr>
        <w:t>Unio</w:t>
      </w:r>
      <w:proofErr w:type="spellEnd"/>
      <w:r w:rsidRPr="00576C3D">
        <w:t xml:space="preserve"> og </w:t>
      </w:r>
      <w:r w:rsidRPr="00576C3D">
        <w:rPr>
          <w:rStyle w:val="kursiv"/>
        </w:rPr>
        <w:t>ZERO</w:t>
      </w:r>
      <w:r w:rsidRPr="00576C3D">
        <w:t xml:space="preserve"> fremhever også at forslaget kan bidra til å redusere risikoen for karbonlekkasje.</w:t>
      </w:r>
    </w:p>
    <w:p w14:paraId="41E9DB0A" w14:textId="77777777" w:rsidR="005D314E" w:rsidRPr="00576C3D" w:rsidRDefault="005D314E" w:rsidP="00576C3D">
      <w:pPr>
        <w:rPr>
          <w:rStyle w:val="kursiv"/>
        </w:rPr>
      </w:pPr>
      <w:r w:rsidRPr="00576C3D">
        <w:rPr>
          <w:rStyle w:val="kursiv"/>
        </w:rPr>
        <w:t>Nærings- og fiskeridepartementet</w:t>
      </w:r>
      <w:r w:rsidRPr="00576C3D">
        <w:t xml:space="preserve"> mener at det bør gjøres enda tydeligere at Norge vil gjennomføre endringsrettsakten om forenklinger, slik at det ikke blir høyere regel- og </w:t>
      </w:r>
      <w:proofErr w:type="spellStart"/>
      <w:r w:rsidRPr="00576C3D">
        <w:t>rapporteringsbyrde</w:t>
      </w:r>
      <w:proofErr w:type="spellEnd"/>
      <w:r w:rsidRPr="00576C3D">
        <w:t xml:space="preserve"> for norsk næringsliv enn </w:t>
      </w:r>
      <w:proofErr w:type="gramStart"/>
      <w:r w:rsidRPr="00576C3D">
        <w:t>for øvrig</w:t>
      </w:r>
      <w:proofErr w:type="gramEnd"/>
      <w:r w:rsidRPr="00576C3D">
        <w:t xml:space="preserve"> næringsliv i EØS. </w:t>
      </w:r>
      <w:r w:rsidRPr="00576C3D">
        <w:rPr>
          <w:rStyle w:val="kursiv"/>
        </w:rPr>
        <w:t>Posten Bring AS</w:t>
      </w:r>
      <w:r w:rsidRPr="00576C3D">
        <w:t xml:space="preserve"> mener innføringen av den nedre importgrensen på 50 tonn er fornuftig. De mener at ansvaret for overvåking og omgåelse av denne grensen bør legges til toll- og skattemyndighetene.</w:t>
      </w:r>
    </w:p>
    <w:p w14:paraId="4384F4C3" w14:textId="77777777" w:rsidR="005D314E" w:rsidRPr="00576C3D" w:rsidRDefault="005D314E" w:rsidP="00576C3D">
      <w:r w:rsidRPr="00576C3D">
        <w:t>En privatperson er imot forslaget, blant annet fordi CBAM vil føre til mer administrasjon og byråkrati.</w:t>
      </w:r>
    </w:p>
    <w:p w14:paraId="5EAEA66B" w14:textId="011F026E" w:rsidR="005D314E" w:rsidRPr="00576C3D" w:rsidRDefault="005D314E" w:rsidP="00576C3D">
      <w:pPr>
        <w:pStyle w:val="Overskrift3"/>
      </w:pPr>
      <w:r w:rsidRPr="00576C3D">
        <w:t>Innspill til gjennomføring av CBAM-forordningen</w:t>
      </w:r>
    </w:p>
    <w:p w14:paraId="6D333EF2" w14:textId="77777777" w:rsidR="005D314E" w:rsidRPr="00576C3D" w:rsidRDefault="005D314E" w:rsidP="00576C3D">
      <w:pPr>
        <w:pStyle w:val="Overskrift4"/>
      </w:pPr>
      <w:r w:rsidRPr="00576C3D">
        <w:t>Innledning</w:t>
      </w:r>
    </w:p>
    <w:p w14:paraId="6202AF37" w14:textId="77777777" w:rsidR="005D314E" w:rsidRPr="00576C3D" w:rsidRDefault="005D314E" w:rsidP="00576C3D">
      <w:r w:rsidRPr="00576C3D">
        <w:t>Ingen av høringsinstansene har konkrete innspill til utformingen av CBAM-loven § 2, se nærmere omtale av bestemmelsen i proposisjonens punkt 5.3 til 5.6. Det er imidlertid høringsinnspill som knytter seg til behovet for å vedta nasjonale særregler som avviker fra CBAM-forordningen, behovet for å vedta regler som tilsvarer tollreglene i EU, behovet for å endre andre nasjonale regelverk, og behovet for en overgangsperiode.</w:t>
      </w:r>
    </w:p>
    <w:p w14:paraId="1C08C100" w14:textId="77777777" w:rsidR="005D314E" w:rsidRPr="00576C3D" w:rsidRDefault="005D314E" w:rsidP="00576C3D">
      <w:pPr>
        <w:pStyle w:val="Overskrift4"/>
      </w:pPr>
      <w:r w:rsidRPr="00576C3D">
        <w:t>Innspill knyttet til behovet for å vedta nasjonale særregler</w:t>
      </w:r>
    </w:p>
    <w:p w14:paraId="16E0E5AF" w14:textId="77777777" w:rsidR="005D314E" w:rsidRPr="00576C3D" w:rsidRDefault="005D314E" w:rsidP="00576C3D">
      <w:r w:rsidRPr="00576C3D">
        <w:t xml:space="preserve">Departementet forstår enkelte av høringsinnspillene slik at det bes om at det fastsettes nasjonale særregler som avviker fra reglene som følger av CBAM-forordningen. </w:t>
      </w:r>
      <w:r w:rsidRPr="00576C3D">
        <w:rPr>
          <w:rStyle w:val="kursiv"/>
        </w:rPr>
        <w:t>Posten Bring AS</w:t>
      </w:r>
      <w:r w:rsidRPr="00576C3D">
        <w:t xml:space="preserve"> mener norske myndigheter bør fastsette nasjonale krav til dokumentasjon i CBAM, og foreslår videre en løsning med egenfastsettelse tilsvarende ordningen for import-MVA og særavgifter. </w:t>
      </w:r>
      <w:r w:rsidRPr="00576C3D">
        <w:rPr>
          <w:rStyle w:val="kursiv"/>
        </w:rPr>
        <w:t xml:space="preserve">Sumitomo Corporation Europe Limited Norway Branch NUF </w:t>
      </w:r>
      <w:r w:rsidRPr="00576C3D">
        <w:t>mener at stålrørprodukter burde unntas CBAM i Norge.</w:t>
      </w:r>
    </w:p>
    <w:p w14:paraId="4CD82564" w14:textId="77777777" w:rsidR="005D314E" w:rsidRPr="00576C3D" w:rsidRDefault="005D314E" w:rsidP="00576C3D">
      <w:r w:rsidRPr="00576C3D">
        <w:t>Departementet vil ikke fastsette nasjonale særregler som avviker fra CBAM-forordningen. Det følger av EØS-avtalen artikkel 7 at forordninger skal gjennomføres «som sådan,» og disse innspillene kan dermed ikke tas til følge. CBAM-forordningen skal være totalharmonisert når den innlemmes i EØS-avtalen, og det er ikke anledning til å stille særnorske krav som avviker fra de materielle reglene i forordningen.</w:t>
      </w:r>
    </w:p>
    <w:p w14:paraId="1B1F5DB9" w14:textId="77777777" w:rsidR="005D314E" w:rsidRPr="00576C3D" w:rsidRDefault="005D314E" w:rsidP="00576C3D">
      <w:pPr>
        <w:pStyle w:val="Overskrift4"/>
      </w:pPr>
      <w:r w:rsidRPr="00576C3D">
        <w:t>Innspill om behovet for å vedta nasjonale tollrelaterte regler</w:t>
      </w:r>
    </w:p>
    <w:p w14:paraId="1D5B475E" w14:textId="77777777" w:rsidR="005D314E" w:rsidRPr="00576C3D" w:rsidRDefault="005D314E" w:rsidP="00576C3D">
      <w:r w:rsidRPr="00576C3D">
        <w:t xml:space="preserve">Flere av høringsinstansene mener det er behov for å vedta nasjonale tollrelaterte regler som tilsvarer tollreglene i EU som det vises til i CBAM-forordningen. </w:t>
      </w:r>
      <w:r w:rsidRPr="00576C3D">
        <w:rPr>
          <w:rStyle w:val="kursiv"/>
        </w:rPr>
        <w:t>Tolletaten</w:t>
      </w:r>
      <w:r w:rsidRPr="00576C3D">
        <w:t xml:space="preserve"> viser til at CBAM-forordningen i stor grad er </w:t>
      </w:r>
      <w:proofErr w:type="gramStart"/>
      <w:r w:rsidRPr="00576C3D">
        <w:t>integrert</w:t>
      </w:r>
      <w:proofErr w:type="gramEnd"/>
      <w:r w:rsidRPr="00576C3D">
        <w:t xml:space="preserve"> med EUs tollregelverk, UCC, og ettersom det ikke er aktuelt å innlemme dette regelverket i EØS-avtalen mener de at det må lages tilpasningstekst med referanser til norsk regelverk (spesielt vareførselsloven) før CBAM-forordningen kan gjøres til norsk rett. </w:t>
      </w:r>
      <w:r w:rsidRPr="00576C3D">
        <w:rPr>
          <w:rStyle w:val="kursiv"/>
        </w:rPr>
        <w:t>Tolletaten</w:t>
      </w:r>
      <w:r w:rsidRPr="00576C3D">
        <w:t xml:space="preserve"> viser til at CBAM vil påvirke vareførselsregelverket ved at CBAM-forordningen blant annet forutsetter bruk av indirekte representasjon, EUs CN-koder, tollprosedyrer for innenlands og utenlands bearbeiding som avviker noe fra vareførselslovens vilkår, EUs </w:t>
      </w:r>
      <w:proofErr w:type="spellStart"/>
      <w:r w:rsidRPr="00576C3D">
        <w:t>preferensielle</w:t>
      </w:r>
      <w:proofErr w:type="spellEnd"/>
      <w:r w:rsidRPr="00576C3D">
        <w:t xml:space="preserve"> opprinnelsesregler og EORI-nummer. De mener det må finnes praktiske og formelle løsninger for disse forholdene i dialog med EU-kommisjonen.</w:t>
      </w:r>
    </w:p>
    <w:p w14:paraId="51CDADB9" w14:textId="77777777" w:rsidR="005D314E" w:rsidRPr="00576C3D" w:rsidRDefault="005D314E" w:rsidP="00576C3D">
      <w:pPr>
        <w:rPr>
          <w:rStyle w:val="kursiv"/>
        </w:rPr>
      </w:pPr>
      <w:r w:rsidRPr="00576C3D">
        <w:rPr>
          <w:rStyle w:val="kursiv"/>
        </w:rPr>
        <w:t>LO Norge, Norsk Hydro ASA, Norsk Industri, Næringslivets Hovedorganisasjon (NHO)</w:t>
      </w:r>
      <w:r w:rsidRPr="00576C3D">
        <w:t xml:space="preserve"> og </w:t>
      </w:r>
      <w:r w:rsidRPr="00576C3D">
        <w:rPr>
          <w:rStyle w:val="kursiv"/>
        </w:rPr>
        <w:t>Yara International ASA</w:t>
      </w:r>
      <w:r w:rsidRPr="00576C3D">
        <w:t xml:space="preserve"> mener det er viktig at det norske regelverket sikrer like rammevilkår for norske og europeiske bedrifter. Blant annet pekes det på at reglene om midlertidig import for bearbeidelse som gjelder i EU, også må lages i Norge.</w:t>
      </w:r>
    </w:p>
    <w:p w14:paraId="5A8E8479" w14:textId="77777777" w:rsidR="005D314E" w:rsidRPr="00576C3D" w:rsidRDefault="005D314E" w:rsidP="00576C3D">
      <w:r w:rsidRPr="00576C3D">
        <w:t xml:space="preserve">Departementet er enig i viktigheten av at det lages tilsvarende regler som i EU for norske aktører etter CBAM-forordningen, og viser til Tolletatens høringsinnspill. I forbindelse med innlemmelse av CBAM-forordningen i EØS-avtalen, har norske myndigheter dialog med Kommisjonen om tilpasninger hvor CBAM-forordningen henviser til EU-regelverk som ikke er innlemmet i EØS-avtalen, slik som EUs tollregelverk. Tilpasningene vil legge opp til at det skal lages materielt like regler som samsvarer med de EU-reglene CBAM-regelverket henviser til, se nærmere omtale av tilpasningene i proposisjonens punkt 6.2. Hvor det er behov vil det bli foreslått endringer i nasjonale regler eller lages nye regler i forskrift til CBAM-loven med hjemmel i lovforslagets § 2 tredje ledd, se proposisjonens punkt 5.6. </w:t>
      </w:r>
      <w:proofErr w:type="gramStart"/>
      <w:r w:rsidRPr="00576C3D">
        <w:t>For øvrig</w:t>
      </w:r>
      <w:proofErr w:type="gramEnd"/>
      <w:r w:rsidRPr="00576C3D">
        <w:t xml:space="preserve"> vil departementet ta med seg innspillene i det videre arbeidet.</w:t>
      </w:r>
    </w:p>
    <w:p w14:paraId="287CEFDF" w14:textId="77777777" w:rsidR="005D314E" w:rsidRPr="00576C3D" w:rsidRDefault="005D314E" w:rsidP="00576C3D">
      <w:pPr>
        <w:pStyle w:val="Overskrift4"/>
      </w:pPr>
      <w:r w:rsidRPr="00576C3D">
        <w:t>Innspill om behov for å endre ytterligere nasjonale regelverk</w:t>
      </w:r>
    </w:p>
    <w:p w14:paraId="5C0B16A7" w14:textId="77777777" w:rsidR="005D314E" w:rsidRPr="00576C3D" w:rsidRDefault="005D314E" w:rsidP="00576C3D">
      <w:r w:rsidRPr="00576C3D">
        <w:t xml:space="preserve">Videre mener flere høringsinstanser at det er behov for å endre ytterligere nasjonale regelverk i forbindelse med vedtakelsen av CBAM-loven. </w:t>
      </w:r>
      <w:r w:rsidRPr="00576C3D">
        <w:rPr>
          <w:rStyle w:val="kursiv"/>
        </w:rPr>
        <w:t>Hovedorganisasjonen Virke</w:t>
      </w:r>
      <w:r w:rsidRPr="00576C3D">
        <w:t xml:space="preserve"> understreker behovet for å etablere en helhetlig løsning for identifisering av norske virksomheter som må utveksle informasjon med EUs tollmyndigheter og andre instanser. </w:t>
      </w:r>
      <w:r w:rsidRPr="00576C3D">
        <w:rPr>
          <w:rStyle w:val="kursiv"/>
        </w:rPr>
        <w:t>Hovedorganisasjonen Virke</w:t>
      </w:r>
      <w:r w:rsidRPr="00576C3D">
        <w:t xml:space="preserve"> mener også at implementeringen av </w:t>
      </w:r>
      <w:proofErr w:type="spellStart"/>
      <w:r w:rsidRPr="00576C3D">
        <w:t>eIDAS</w:t>
      </w:r>
      <w:proofErr w:type="spellEnd"/>
      <w:r w:rsidRPr="00576C3D">
        <w:t xml:space="preserve"> 2 må prioriteres, slik at </w:t>
      </w:r>
      <w:proofErr w:type="spellStart"/>
      <w:r w:rsidRPr="00576C3D">
        <w:t>eID</w:t>
      </w:r>
      <w:proofErr w:type="spellEnd"/>
      <w:r w:rsidRPr="00576C3D">
        <w:t>-løsninger som er godkjent i EU, kommer på plass i Norge.</w:t>
      </w:r>
    </w:p>
    <w:p w14:paraId="3070D9F0" w14:textId="77777777" w:rsidR="005D314E" w:rsidRPr="00576C3D" w:rsidRDefault="005D314E" w:rsidP="00576C3D">
      <w:pPr>
        <w:rPr>
          <w:rStyle w:val="kursiv"/>
        </w:rPr>
      </w:pPr>
      <w:r w:rsidRPr="00576C3D">
        <w:rPr>
          <w:rStyle w:val="kursiv"/>
        </w:rPr>
        <w:t>Statkraft AS</w:t>
      </w:r>
      <w:r w:rsidRPr="00576C3D">
        <w:t xml:space="preserve"> viser til at Statnett har fått et oppdrag av Energidepartementet. </w:t>
      </w:r>
      <w:r w:rsidRPr="00576C3D">
        <w:rPr>
          <w:rStyle w:val="kursiv"/>
        </w:rPr>
        <w:t>Statkraft AS</w:t>
      </w:r>
      <w:r w:rsidRPr="00576C3D">
        <w:t xml:space="preserve"> legger til grunn at oppdraget innebærer en vurdering av metoden Statnett skal bruke for videreføring av kostnader som følge av CBAM til øvrige aktører og sluttbrukere bør vektlegge på intensjonen bak CBAM. </w:t>
      </w:r>
      <w:r w:rsidRPr="00576C3D">
        <w:rPr>
          <w:rStyle w:val="kursiv"/>
        </w:rPr>
        <w:t>Statkraft AS</w:t>
      </w:r>
      <w:r w:rsidRPr="00576C3D">
        <w:t xml:space="preserve"> legger til grunn at metoden sendes på høring til de aktører som blir berørt, og at metoden som velges har minst mulige negative effekter på effektiviteten i det norske kraftmarkedet.</w:t>
      </w:r>
    </w:p>
    <w:p w14:paraId="74659AC9" w14:textId="77777777" w:rsidR="005D314E" w:rsidRPr="00576C3D" w:rsidRDefault="005D314E" w:rsidP="00576C3D">
      <w:r w:rsidRPr="00576C3D">
        <w:t>Departementet tar med seg disse innspillene i det videre arbeidet.</w:t>
      </w:r>
    </w:p>
    <w:p w14:paraId="78EFFF9C" w14:textId="77777777" w:rsidR="005D314E" w:rsidRPr="00576C3D" w:rsidRDefault="005D314E" w:rsidP="00576C3D">
      <w:pPr>
        <w:pStyle w:val="Overskrift4"/>
      </w:pPr>
      <w:r w:rsidRPr="00576C3D">
        <w:t>Innspill knyttet til en overgangsperiode</w:t>
      </w:r>
    </w:p>
    <w:p w14:paraId="2A2E07C6" w14:textId="77777777" w:rsidR="005D314E" w:rsidRPr="00576C3D" w:rsidRDefault="005D314E" w:rsidP="00576C3D">
      <w:r w:rsidRPr="00576C3D">
        <w:rPr>
          <w:rStyle w:val="kursiv"/>
        </w:rPr>
        <w:t>Heidelberg Materials Norway</w:t>
      </w:r>
      <w:r w:rsidRPr="00576C3D">
        <w:t xml:space="preserve"> mener det bør vedtas en overgangsperiode. De mener at tidsplanen for implementering av CBAM er svært optimistisk, og at det bør lages en overgangsperiode på seks måneder hvor det er unntak for autorisering som CBAM-</w:t>
      </w:r>
      <w:proofErr w:type="spellStart"/>
      <w:r w:rsidRPr="00576C3D">
        <w:t>deklarant</w:t>
      </w:r>
      <w:proofErr w:type="spellEnd"/>
      <w:r w:rsidRPr="00576C3D">
        <w:t xml:space="preserve">, CBAM-sertifikater og sanksjoner. Hvis ikke det lages en overgangsperiode, bør myndighetene ha en </w:t>
      </w:r>
      <w:proofErr w:type="gramStart"/>
      <w:r w:rsidRPr="00576C3D">
        <w:t>robust</w:t>
      </w:r>
      <w:proofErr w:type="gramEnd"/>
      <w:r w:rsidRPr="00576C3D">
        <w:t xml:space="preserve"> plan for hvordan næringslivet skal håndtere de nye reglene uten å bære hele risikoen selv.</w:t>
      </w:r>
    </w:p>
    <w:p w14:paraId="42ECF366" w14:textId="77777777" w:rsidR="005D314E" w:rsidRPr="00576C3D" w:rsidRDefault="005D314E" w:rsidP="00576C3D">
      <w:r w:rsidRPr="00576C3D">
        <w:t>Departementet vurderer at CBAM bør gjelde fullt ut i Norge fra 1. januar 2027. Dette er viktig for å sikre like rammebetingelser for norske aktører og av hensyn til reduksjon av klimagassutslipp i og utenfor Europa. Departementet viser til at flere av høringsinstansene også ønsker en rask gjennomføring av CBAM i norsk rett. Departementet påpeker at det vil prioritere veiledning av berørte aktører, både gjennom offentlig tilgjengelig informasjon på etatenes nettsider og gjennom kontaktmøter med de mest berørte aktørene.</w:t>
      </w:r>
    </w:p>
    <w:p w14:paraId="174259F0" w14:textId="77777777" w:rsidR="005D314E" w:rsidRPr="00576C3D" w:rsidRDefault="005D314E" w:rsidP="00576C3D">
      <w:pPr>
        <w:pStyle w:val="Overskrift3"/>
      </w:pPr>
      <w:r w:rsidRPr="00576C3D">
        <w:t>Innspill til den fremtidige forvaltningen av CBAM i Norge og til utviklingen av CBAM i EU</w:t>
      </w:r>
    </w:p>
    <w:p w14:paraId="67810368" w14:textId="77777777" w:rsidR="005D314E" w:rsidRPr="00576C3D" w:rsidRDefault="005D314E" w:rsidP="00576C3D">
      <w:pPr>
        <w:rPr>
          <w:rStyle w:val="kursiv"/>
        </w:rPr>
      </w:pPr>
      <w:r w:rsidRPr="00576C3D">
        <w:rPr>
          <w:rStyle w:val="kursiv"/>
        </w:rPr>
        <w:t xml:space="preserve">Hovedorganisasjonen Virke, LO Norge, Norsk Industri, Næringslivets hovedorganisasjon (NHO), Offshore Norge, Posten Bring AS, </w:t>
      </w:r>
      <w:proofErr w:type="spellStart"/>
      <w:r w:rsidRPr="00576C3D">
        <w:rPr>
          <w:rStyle w:val="kursiv"/>
        </w:rPr>
        <w:t>Unio</w:t>
      </w:r>
      <w:proofErr w:type="spellEnd"/>
      <w:r w:rsidRPr="00576C3D">
        <w:rPr>
          <w:rStyle w:val="kursiv"/>
        </w:rPr>
        <w:t xml:space="preserve"> </w:t>
      </w:r>
      <w:r w:rsidRPr="00576C3D">
        <w:t>og</w:t>
      </w:r>
      <w:r w:rsidRPr="00576C3D">
        <w:rPr>
          <w:rStyle w:val="kursiv"/>
        </w:rPr>
        <w:t xml:space="preserve"> ZERO</w:t>
      </w:r>
      <w:r w:rsidRPr="00576C3D">
        <w:t xml:space="preserve"> sier det er behov for veiledning om hvordan reglene vil virke i Norge. Dette er særlig viktig fordi det i Norge ikke er lagt opp til en overgangsperiode, slik som det har vært i EU. </w:t>
      </w:r>
      <w:r w:rsidRPr="00576C3D">
        <w:rPr>
          <w:rStyle w:val="kursiv"/>
        </w:rPr>
        <w:t>Hovedorganisasjonen Virke</w:t>
      </w:r>
      <w:r w:rsidRPr="00576C3D">
        <w:t xml:space="preserve"> mener god veiledning er avgjørende for å redusere de administrative byrdene knyttet til regelverket, og understreker betydningen av at myndighetene setter av nok ressurser til å veilede. </w:t>
      </w:r>
      <w:r w:rsidRPr="00576C3D">
        <w:rPr>
          <w:rStyle w:val="kursiv"/>
        </w:rPr>
        <w:t>LO Norge, Norsk Industri</w:t>
      </w:r>
      <w:r w:rsidRPr="00576C3D">
        <w:t xml:space="preserve"> og </w:t>
      </w:r>
      <w:r w:rsidRPr="00576C3D">
        <w:rPr>
          <w:rStyle w:val="kursiv"/>
        </w:rPr>
        <w:t>Næringslivets hovedorganisasjon (NHO)</w:t>
      </w:r>
      <w:r w:rsidRPr="00576C3D">
        <w:t xml:space="preserve"> er opptatt av forutsigbarhet, og mener det bør opprettes et kontaktpunkt der bedrifter og organisasjoner kan få svar på spesifikke spørsmål om regelverket. </w:t>
      </w:r>
      <w:proofErr w:type="spellStart"/>
      <w:r w:rsidRPr="00576C3D">
        <w:rPr>
          <w:rStyle w:val="kursiv"/>
        </w:rPr>
        <w:t>Unio</w:t>
      </w:r>
      <w:proofErr w:type="spellEnd"/>
      <w:r w:rsidRPr="00576C3D">
        <w:t xml:space="preserve"> mener at forutsigbarhet og god veiledning blir viktig for berørte aktører, særlig små og mellomstore virksomheter.</w:t>
      </w:r>
    </w:p>
    <w:p w14:paraId="5B6CA7F6" w14:textId="77777777" w:rsidR="005D314E" w:rsidRPr="00576C3D" w:rsidRDefault="005D314E" w:rsidP="00576C3D">
      <w:r w:rsidRPr="00576C3D">
        <w:t xml:space="preserve">Flere høringsinstanser har også innspill knyttet til tollrelaterte problemstillinger. </w:t>
      </w:r>
      <w:r w:rsidRPr="00576C3D">
        <w:rPr>
          <w:rStyle w:val="kursiv"/>
        </w:rPr>
        <w:t>Offshore Norge</w:t>
      </w:r>
      <w:r w:rsidRPr="00576C3D">
        <w:t xml:space="preserve"> mener det må sikres godt samspill mellom eksisterende toll- og </w:t>
      </w:r>
      <w:proofErr w:type="spellStart"/>
      <w:r w:rsidRPr="00576C3D">
        <w:t>avgiftssregimer</w:t>
      </w:r>
      <w:proofErr w:type="spellEnd"/>
      <w:r w:rsidRPr="00576C3D">
        <w:t xml:space="preserve"> </w:t>
      </w:r>
      <w:r w:rsidRPr="00576C3D">
        <w:rPr>
          <w:rStyle w:val="kursiv"/>
        </w:rPr>
        <w:t>Posten Bring AS</w:t>
      </w:r>
      <w:r w:rsidRPr="00576C3D">
        <w:t xml:space="preserve"> oppfordrer til enkle og digitale løsninger for rapportering og informasjonsutveksling som er integrerte med Tolletatens systemer. De ønsker også at det avklares tydelig hvilke dokumentasjonskrav som gjelder for opprinnelsesland. </w:t>
      </w:r>
      <w:r w:rsidRPr="00576C3D">
        <w:rPr>
          <w:rStyle w:val="kursiv"/>
        </w:rPr>
        <w:t>Posten Bring AS</w:t>
      </w:r>
      <w:r w:rsidRPr="00576C3D">
        <w:t xml:space="preserve"> ønsker også at det utarbeides en HS-oversikt for alle varetyper som omfattes av CBAM, og at norske myndigheter skal håndtere kundehenvendelser om fritak og fradrag for innbetalt karbonpris i tredjeland.</w:t>
      </w:r>
    </w:p>
    <w:p w14:paraId="727479E1" w14:textId="77777777" w:rsidR="005D314E" w:rsidRPr="00576C3D" w:rsidRDefault="005D314E" w:rsidP="00576C3D">
      <w:pPr>
        <w:rPr>
          <w:rStyle w:val="kursiv"/>
        </w:rPr>
      </w:pPr>
      <w:r w:rsidRPr="00576C3D">
        <w:rPr>
          <w:rStyle w:val="kursiv"/>
        </w:rPr>
        <w:t>Heidelberg Materials Norway</w:t>
      </w:r>
      <w:r w:rsidRPr="00576C3D">
        <w:t xml:space="preserve"> er positive til muligheten for bruk av indirekte tollrepresentant i Norge.</w:t>
      </w:r>
    </w:p>
    <w:p w14:paraId="7974B40E" w14:textId="77777777" w:rsidR="005D314E" w:rsidRPr="00576C3D" w:rsidRDefault="005D314E" w:rsidP="00576C3D">
      <w:pPr>
        <w:rPr>
          <w:rStyle w:val="kursiv"/>
        </w:rPr>
      </w:pPr>
      <w:r w:rsidRPr="00576C3D">
        <w:rPr>
          <w:rStyle w:val="kursiv"/>
        </w:rPr>
        <w:t xml:space="preserve">Statkraft AS </w:t>
      </w:r>
      <w:r w:rsidRPr="00576C3D">
        <w:t xml:space="preserve">og </w:t>
      </w:r>
      <w:r w:rsidRPr="00576C3D">
        <w:rPr>
          <w:rStyle w:val="kursiv"/>
        </w:rPr>
        <w:t>Statnett SF</w:t>
      </w:r>
      <w:r w:rsidRPr="00576C3D">
        <w:t xml:space="preserve"> har høringsinnspill som omhandler import av elektrisk kraft. </w:t>
      </w:r>
      <w:r w:rsidRPr="00576C3D">
        <w:rPr>
          <w:rStyle w:val="kursiv"/>
        </w:rPr>
        <w:t>Statkraft AS</w:t>
      </w:r>
      <w:r w:rsidRPr="00576C3D">
        <w:t xml:space="preserve"> støtter at Statnett vil anses som CBAM-</w:t>
      </w:r>
      <w:proofErr w:type="spellStart"/>
      <w:r w:rsidRPr="00576C3D">
        <w:t>deklarant</w:t>
      </w:r>
      <w:proofErr w:type="spellEnd"/>
      <w:r w:rsidRPr="00576C3D">
        <w:t xml:space="preserve"> for import av elektrisk kraft til Norge, fordi de mener at systemansvarlig er den aktøren som er best egnet til å besitte informasjon om import av elektrisk kraft under CBAM. </w:t>
      </w:r>
      <w:r w:rsidRPr="00576C3D">
        <w:rPr>
          <w:rStyle w:val="kursiv"/>
        </w:rPr>
        <w:t>Statnett SF</w:t>
      </w:r>
      <w:r w:rsidRPr="00576C3D">
        <w:t xml:space="preserve"> viser til at CBAM vil innebære økte kostnader for dem som følge av at de må kjøpe CBAM-sertifikater for import av elektrisitet. </w:t>
      </w:r>
      <w:r w:rsidRPr="00576C3D">
        <w:rPr>
          <w:rStyle w:val="kursiv"/>
        </w:rPr>
        <w:t>Statnett SF</w:t>
      </w:r>
      <w:r w:rsidRPr="00576C3D">
        <w:t xml:space="preserve"> legger til grunn at disse kostnadene blir hensyntatt i den økonomiske reguleringen av Statnett.</w:t>
      </w:r>
    </w:p>
    <w:p w14:paraId="0D2C7F17" w14:textId="77777777" w:rsidR="005D314E" w:rsidRPr="00576C3D" w:rsidRDefault="005D314E" w:rsidP="00576C3D">
      <w:pPr>
        <w:rPr>
          <w:rStyle w:val="kursiv"/>
        </w:rPr>
      </w:pPr>
      <w:r w:rsidRPr="00576C3D">
        <w:rPr>
          <w:rStyle w:val="kursiv"/>
        </w:rPr>
        <w:t>Kirkens Nødhjelp</w:t>
      </w:r>
      <w:r w:rsidRPr="00576C3D">
        <w:t xml:space="preserve"> og </w:t>
      </w:r>
      <w:r w:rsidRPr="00576C3D">
        <w:rPr>
          <w:rStyle w:val="kursiv"/>
        </w:rPr>
        <w:t>Naturvernforbundet</w:t>
      </w:r>
      <w:r w:rsidRPr="00576C3D">
        <w:t xml:space="preserve"> mener at regjeringen bør vurdere om deler av inntektene fra CBAM kan brukes til å øke omfanget av klimafinansiering til utviklingsland og at norske myndigheter bør forsøke å påvirke EU til å innføre en regel som styrer inntektene i en slik retning. </w:t>
      </w:r>
      <w:r w:rsidRPr="00576C3D">
        <w:rPr>
          <w:rStyle w:val="kursiv"/>
        </w:rPr>
        <w:t>Kirkens Nødhjelp</w:t>
      </w:r>
      <w:r w:rsidRPr="00576C3D">
        <w:t xml:space="preserve"> mener at inntektene fra CBAM burde øremerkes til tap- og skadefondet under FNs klimakonvensjon (UNFCCC) spesielt. Om det ikke er mulig å øremerke inntektene fra CBAM, mener Kirkens Nødhjelp at et beløp tilsvarende inntektene fra CBAM burde settes av til internasjonal klimafinansiering over statsbudsjettet.</w:t>
      </w:r>
    </w:p>
    <w:p w14:paraId="7F144E86" w14:textId="77777777" w:rsidR="005D314E" w:rsidRPr="00576C3D" w:rsidRDefault="005D314E" w:rsidP="00576C3D">
      <w:pPr>
        <w:rPr>
          <w:rStyle w:val="kursiv"/>
        </w:rPr>
      </w:pPr>
      <w:proofErr w:type="spellStart"/>
      <w:r w:rsidRPr="00576C3D">
        <w:rPr>
          <w:rStyle w:val="kursiv"/>
        </w:rPr>
        <w:t>Unio</w:t>
      </w:r>
      <w:proofErr w:type="spellEnd"/>
      <w:r w:rsidRPr="00576C3D">
        <w:t xml:space="preserve"> mener det er viktig at myndighetene ivaretar arbeidstakerperspektivet i den videre implementeringen av CBAM, og at CBAM må sees i sammenheng med øvrige norske og europeiske industristrategier, særlig innen grønn industri, forskning og utdanning.</w:t>
      </w:r>
    </w:p>
    <w:p w14:paraId="49155B39" w14:textId="77777777" w:rsidR="005D314E" w:rsidRPr="00576C3D" w:rsidRDefault="005D314E" w:rsidP="00576C3D">
      <w:pPr>
        <w:rPr>
          <w:rStyle w:val="kursiv"/>
        </w:rPr>
      </w:pPr>
      <w:r w:rsidRPr="00576C3D">
        <w:rPr>
          <w:rStyle w:val="kursiv"/>
        </w:rPr>
        <w:t>LO Norge</w:t>
      </w:r>
      <w:r w:rsidRPr="00576C3D">
        <w:t xml:space="preserve"> er opptatt av at CBAM ikke får utilsiktede negative konsekvenser ved at Norge havner i en skvis mellom WTO-regelverket og EU sin industripolitikk.</w:t>
      </w:r>
    </w:p>
    <w:p w14:paraId="53596CF4" w14:textId="77777777" w:rsidR="005D314E" w:rsidRPr="00576C3D" w:rsidRDefault="005D314E" w:rsidP="00576C3D">
      <w:pPr>
        <w:pStyle w:val="Overskrift4"/>
      </w:pPr>
      <w:r w:rsidRPr="00576C3D">
        <w:t>Innspill knyttet til videre utvikling av CBAM i EU</w:t>
      </w:r>
    </w:p>
    <w:p w14:paraId="28B59EEA" w14:textId="77777777" w:rsidR="005D314E" w:rsidRPr="00576C3D" w:rsidRDefault="005D314E" w:rsidP="00576C3D">
      <w:pPr>
        <w:rPr>
          <w:rStyle w:val="kursiv"/>
        </w:rPr>
      </w:pPr>
      <w:r w:rsidRPr="00576C3D">
        <w:rPr>
          <w:rStyle w:val="kursiv"/>
        </w:rPr>
        <w:t>ZERO</w:t>
      </w:r>
      <w:r w:rsidRPr="00576C3D">
        <w:t xml:space="preserve"> mener CBAM er en sentral del av europeisk klima-, handels- og industripolitikk, og har stort potensial til å drive frem betydelige utslippskutt både innenfor og utenfor det indre marked. </w:t>
      </w:r>
      <w:r w:rsidRPr="00576C3D">
        <w:rPr>
          <w:rStyle w:val="kursiv"/>
        </w:rPr>
        <w:t>ZERO</w:t>
      </w:r>
      <w:r w:rsidRPr="00576C3D">
        <w:t xml:space="preserve"> mener at, i likhet med klimakvotesystemet, vil CBAM som virkemiddel kreve modning.</w:t>
      </w:r>
    </w:p>
    <w:p w14:paraId="5A9E3B6B" w14:textId="77777777" w:rsidR="005D314E" w:rsidRPr="00576C3D" w:rsidRDefault="005D314E" w:rsidP="00576C3D">
      <w:pPr>
        <w:rPr>
          <w:rStyle w:val="kursiv"/>
        </w:rPr>
      </w:pPr>
      <w:r w:rsidRPr="00576C3D">
        <w:rPr>
          <w:rStyle w:val="kursiv"/>
        </w:rPr>
        <w:t>Norsk Industri, Offshore Norge</w:t>
      </w:r>
      <w:r w:rsidRPr="00576C3D">
        <w:t xml:space="preserve"> og </w:t>
      </w:r>
      <w:r w:rsidRPr="00576C3D">
        <w:rPr>
          <w:rStyle w:val="kursiv"/>
        </w:rPr>
        <w:t>ZERO</w:t>
      </w:r>
      <w:r w:rsidRPr="00576C3D">
        <w:t xml:space="preserve"> mener at det er avgjørende at Norge følger utviklingen i CBAM tett og bidrar til den løpende regelverksutviklingen i EU.</w:t>
      </w:r>
    </w:p>
    <w:p w14:paraId="035A4B7F" w14:textId="77777777" w:rsidR="005D314E" w:rsidRPr="00576C3D" w:rsidRDefault="005D314E" w:rsidP="00576C3D">
      <w:r w:rsidRPr="00576C3D">
        <w:t>Flere høringsinstanser har innspill til hvilke varer og varegrupper som bør eller ikke bør omfattes av CBAM-regelverket.</w:t>
      </w:r>
      <w:r w:rsidRPr="00576C3D">
        <w:rPr>
          <w:rStyle w:val="kursiv"/>
        </w:rPr>
        <w:t xml:space="preserve"> LO Norge, Norsk Hydro ASA, Norsk Industri og Næringslivets Hovedorganisasjon (NHO)</w:t>
      </w:r>
      <w:r w:rsidRPr="00576C3D">
        <w:t xml:space="preserve"> mener den nåværende utformingen av CBAM har svakheter som kan uthule klimaeffekten av regelverket og true konkurranseevnen til europeisk industri. </w:t>
      </w:r>
      <w:r w:rsidRPr="00576C3D">
        <w:rPr>
          <w:rStyle w:val="kursiv"/>
        </w:rPr>
        <w:t>Norsk Hydro ASA</w:t>
      </w:r>
      <w:r w:rsidRPr="00576C3D">
        <w:t xml:space="preserve"> peker blant annet på at CBAM-forordningen også bør omfatte skrap som stammer fra aluminium og flere produktkategorier og materialer. De mener videre at utslippsstandarder og standardverdier bør utformes på en måte som ikke tillater enkel omgåelse av CBAM. </w:t>
      </w:r>
      <w:r w:rsidRPr="00576C3D">
        <w:rPr>
          <w:rStyle w:val="kursiv"/>
        </w:rPr>
        <w:t>ZERO</w:t>
      </w:r>
      <w:r w:rsidRPr="00576C3D">
        <w:t xml:space="preserve"> mener også at CBAM-forordningens virkeområde bør gradvis utvides for å være et effektivt virkemiddel for å forhindre karbonlekkasje, og at eksisterende smutthull tettes.</w:t>
      </w:r>
    </w:p>
    <w:p w14:paraId="3A0EEF86" w14:textId="77777777" w:rsidR="005D314E" w:rsidRPr="00576C3D" w:rsidRDefault="005D314E" w:rsidP="00576C3D">
      <w:pPr>
        <w:rPr>
          <w:rStyle w:val="kursiv"/>
        </w:rPr>
      </w:pPr>
      <w:r w:rsidRPr="00576C3D">
        <w:rPr>
          <w:rStyle w:val="kursiv"/>
        </w:rPr>
        <w:t>Norsk Hydro ASA</w:t>
      </w:r>
      <w:r w:rsidRPr="00576C3D">
        <w:t xml:space="preserve"> mener at indirekte utslipp fra aluminium ikke bør inkluderes i CBAM.</w:t>
      </w:r>
    </w:p>
    <w:p w14:paraId="6A07BDD8" w14:textId="77777777" w:rsidR="005D314E" w:rsidRPr="00576C3D" w:rsidRDefault="005D314E" w:rsidP="00576C3D">
      <w:r w:rsidRPr="00576C3D">
        <w:rPr>
          <w:rStyle w:val="kursiv"/>
        </w:rPr>
        <w:t>Norsk Hydro ASA, Norsk Industri</w:t>
      </w:r>
      <w:r w:rsidRPr="00576C3D">
        <w:t xml:space="preserve"> og </w:t>
      </w:r>
      <w:r w:rsidRPr="00576C3D">
        <w:rPr>
          <w:rStyle w:val="kursiv"/>
        </w:rPr>
        <w:t>Yara International ASA</w:t>
      </w:r>
      <w:r w:rsidRPr="00576C3D">
        <w:t xml:space="preserve"> mener at det må etableres en eksportløsning for CBAM-varer som eksporteres ut av Europa. </w:t>
      </w:r>
    </w:p>
    <w:p w14:paraId="460B0353" w14:textId="77777777" w:rsidR="005D314E" w:rsidRPr="00576C3D" w:rsidRDefault="005D314E" w:rsidP="00576C3D">
      <w:pPr>
        <w:rPr>
          <w:rStyle w:val="kursiv"/>
        </w:rPr>
      </w:pPr>
      <w:r w:rsidRPr="00576C3D">
        <w:rPr>
          <w:rStyle w:val="kursiv"/>
        </w:rPr>
        <w:t>ZERO</w:t>
      </w:r>
      <w:r w:rsidRPr="00576C3D">
        <w:t xml:space="preserve"> mener det er positivt at midlene fra </w:t>
      </w:r>
      <w:proofErr w:type="spellStart"/>
      <w:r w:rsidRPr="00576C3D">
        <w:t>Temporary</w:t>
      </w:r>
      <w:proofErr w:type="spellEnd"/>
      <w:r w:rsidRPr="00576C3D">
        <w:t xml:space="preserve"> </w:t>
      </w:r>
      <w:proofErr w:type="spellStart"/>
      <w:r w:rsidRPr="00576C3D">
        <w:t>Decarbonisation</w:t>
      </w:r>
      <w:proofErr w:type="spellEnd"/>
      <w:r w:rsidRPr="00576C3D">
        <w:t xml:space="preserve"> Fund (TCF) kun gjelder produksjonsårene 2026-2027, retter seg mot et mindretall av sektorer, utbetales etter produksjon og begrenses til tiltak med utslippskutt. De mener imidlertid at kriteriene fremstår som svake og lite virkningsfulle.</w:t>
      </w:r>
    </w:p>
    <w:p w14:paraId="2F8B6AA9" w14:textId="77777777" w:rsidR="005D314E" w:rsidRPr="00576C3D" w:rsidRDefault="005D314E" w:rsidP="00576C3D">
      <w:pPr>
        <w:rPr>
          <w:rStyle w:val="kursiv"/>
        </w:rPr>
      </w:pPr>
      <w:r w:rsidRPr="00576C3D">
        <w:rPr>
          <w:rStyle w:val="kursiv"/>
        </w:rPr>
        <w:t>Offshore Norge</w:t>
      </w:r>
      <w:r w:rsidRPr="00576C3D">
        <w:t xml:space="preserve"> mener det bør utvikles brukervennlige digitale løsninger for CBAM, og at det bør etableres tilstrekkelig kapasitet og kompetanse knyttet til akkreditering og verifisering for å sikre at verifikasjonskravene i seg selv ikke blir en flaskehals for import eller skaper unødvendige forsinkelser.</w:t>
      </w:r>
    </w:p>
    <w:p w14:paraId="12879144" w14:textId="77777777" w:rsidR="005D314E" w:rsidRPr="00576C3D" w:rsidRDefault="005D314E" w:rsidP="00576C3D">
      <w:pPr>
        <w:rPr>
          <w:rStyle w:val="kursiv"/>
        </w:rPr>
      </w:pPr>
      <w:r w:rsidRPr="00576C3D">
        <w:rPr>
          <w:rStyle w:val="kursiv"/>
        </w:rPr>
        <w:t>Kirkens Nødhjelp</w:t>
      </w:r>
      <w:r w:rsidRPr="00576C3D">
        <w:t xml:space="preserve"> mener at innføringen av CBAM må skje sammen med tydelige krav om global rettferdighet. Dette inkluderer at CBAM må suppleres av et rettferdig overgangsregime for lavinntektsland, blant annet ved at Norge tar til orde for unntak, støtteordninger og teknisk assistanse til utviklingsland.</w:t>
      </w:r>
    </w:p>
    <w:p w14:paraId="75DC9632" w14:textId="77777777" w:rsidR="005D314E" w:rsidRPr="00576C3D" w:rsidRDefault="005D314E" w:rsidP="00576C3D">
      <w:r w:rsidRPr="00576C3D">
        <w:t xml:space="preserve">Enkelte høringsinstanser har også innspill knyttet til tema som behandles i underliggende rettsakter til CBAM-forordningen. </w:t>
      </w:r>
      <w:r w:rsidRPr="00576C3D">
        <w:rPr>
          <w:rStyle w:val="kursiv"/>
        </w:rPr>
        <w:t>ZERO</w:t>
      </w:r>
      <w:r w:rsidRPr="00576C3D">
        <w:t xml:space="preserve"> advarer mot å bruke artikkel 6-kvoter under Parisavtalen i beregningen av karbonpris betalt i tredjeland. </w:t>
      </w:r>
      <w:r w:rsidRPr="00576C3D">
        <w:rPr>
          <w:rStyle w:val="kursiv"/>
        </w:rPr>
        <w:t>Offshore Norge</w:t>
      </w:r>
      <w:r w:rsidRPr="00576C3D">
        <w:t xml:space="preserve"> ber om at det utarbeides tydelige og praktiske retningslinjer for hvordan karbonpris betalt i tredjeland skal dokumenteres og godkjennes.</w:t>
      </w:r>
    </w:p>
    <w:p w14:paraId="2A7AFAB8" w14:textId="77777777" w:rsidR="005D314E" w:rsidRPr="00576C3D" w:rsidRDefault="005D314E" w:rsidP="00576C3D">
      <w:pPr>
        <w:pStyle w:val="Overskrift3"/>
      </w:pPr>
      <w:r w:rsidRPr="00576C3D">
        <w:t>Innspill om andre virkemidler enn CBAM</w:t>
      </w:r>
    </w:p>
    <w:p w14:paraId="4AF136BD" w14:textId="77777777" w:rsidR="005D314E" w:rsidRPr="00576C3D" w:rsidRDefault="005D314E" w:rsidP="00576C3D">
      <w:pPr>
        <w:rPr>
          <w:rStyle w:val="kursiv"/>
        </w:rPr>
      </w:pPr>
      <w:r w:rsidRPr="00576C3D">
        <w:rPr>
          <w:rStyle w:val="kursiv"/>
        </w:rPr>
        <w:t>Offshore Norge</w:t>
      </w:r>
      <w:r w:rsidRPr="00576C3D">
        <w:t xml:space="preserve"> støtter målet om å redusere karbonlekkasje og styrke klimapolitikken, men understreker behovet for forutsigbarhet, praktiske løsninger og en balansert tilnærming som ivaretar konkurransekraften til norsk olje- og gassnæring. </w:t>
      </w:r>
      <w:r w:rsidRPr="00576C3D">
        <w:rPr>
          <w:rStyle w:val="kursiv"/>
        </w:rPr>
        <w:t>Offshore Norge</w:t>
      </w:r>
      <w:r w:rsidRPr="00576C3D">
        <w:t xml:space="preserve"> ber om at myndighetene vurderer tiltak for å dempe eventuelle negative effekter på konkurransekraft og sysselsetting.</w:t>
      </w:r>
    </w:p>
    <w:p w14:paraId="22CDDEF5" w14:textId="77777777" w:rsidR="005D314E" w:rsidRPr="00576C3D" w:rsidRDefault="005D314E" w:rsidP="00576C3D">
      <w:pPr>
        <w:rPr>
          <w:rStyle w:val="kursiv"/>
        </w:rPr>
      </w:pPr>
      <w:r w:rsidRPr="00576C3D">
        <w:rPr>
          <w:rStyle w:val="kursiv"/>
        </w:rPr>
        <w:t>Abelia</w:t>
      </w:r>
      <w:r w:rsidRPr="00576C3D">
        <w:t xml:space="preserve"> mener at innføringen av CBAM bør ses i sammenheng med CO</w:t>
      </w:r>
      <w:r w:rsidRPr="00576C3D">
        <w:rPr>
          <w:rStyle w:val="skrift-senket"/>
        </w:rPr>
        <w:t>2</w:t>
      </w:r>
      <w:r w:rsidRPr="00576C3D">
        <w:t xml:space="preserve">-kompensasjonsordningen, og at denne ordningen bør fases ut. </w:t>
      </w:r>
      <w:r w:rsidRPr="00576C3D">
        <w:rPr>
          <w:rStyle w:val="kursiv"/>
        </w:rPr>
        <w:t>Yara International ASA</w:t>
      </w:r>
      <w:r w:rsidRPr="00576C3D">
        <w:t xml:space="preserve"> mener at de må innlemmes i den norske CO</w:t>
      </w:r>
      <w:r w:rsidRPr="00576C3D">
        <w:rPr>
          <w:rStyle w:val="skrift-senket"/>
        </w:rPr>
        <w:t>2</w:t>
      </w:r>
      <w:r w:rsidRPr="00576C3D">
        <w:t>-kompensasjonsordningen fra og med 2026.</w:t>
      </w:r>
    </w:p>
    <w:p w14:paraId="4EEF1EDE" w14:textId="77777777" w:rsidR="005D314E" w:rsidRPr="00576C3D" w:rsidRDefault="005D314E" w:rsidP="00576C3D">
      <w:r w:rsidRPr="00576C3D">
        <w:rPr>
          <w:rStyle w:val="kursiv"/>
        </w:rPr>
        <w:t>ZERO</w:t>
      </w:r>
      <w:r w:rsidRPr="00576C3D">
        <w:t xml:space="preserve"> anbefaler å innlemme de øvrige rettsaktene fra «Klar for 55»-pakken i EØS-avtalen, for å bidra til den overordnede målsetningen om 55 pst. utslippskutt i EU innen 2030 sammenliknet med 1990-nivå.</w:t>
      </w:r>
    </w:p>
    <w:p w14:paraId="467FF786" w14:textId="77777777" w:rsidR="005D314E" w:rsidRPr="00576C3D" w:rsidRDefault="005D314E" w:rsidP="00576C3D">
      <w:pPr>
        <w:pStyle w:val="Overskrift1"/>
      </w:pPr>
      <w:r w:rsidRPr="00576C3D">
        <w:t>Rettsområder som ses i sammenheng med CBAM</w:t>
      </w:r>
    </w:p>
    <w:p w14:paraId="3647B775" w14:textId="77777777" w:rsidR="005D314E" w:rsidRPr="00576C3D" w:rsidRDefault="005D314E" w:rsidP="00576C3D">
      <w:pPr>
        <w:pStyle w:val="Overskrift2"/>
      </w:pPr>
      <w:r w:rsidRPr="00576C3D">
        <w:t>Innledning</w:t>
      </w:r>
    </w:p>
    <w:p w14:paraId="7855CCEE" w14:textId="77777777" w:rsidR="005D314E" w:rsidRPr="00576C3D" w:rsidRDefault="005D314E" w:rsidP="00576C3D">
      <w:r w:rsidRPr="00576C3D">
        <w:t>CBAM er et nytt virkemiddel og det finnes ingen gjeldende rett på området i Norge. Innføringen av CBAM vil imidlertid kunne påvirke andre rettsområder og må ses i sammenheng med ulike deler av norsk regelverk.</w:t>
      </w:r>
    </w:p>
    <w:p w14:paraId="0EA3C6F7" w14:textId="77777777" w:rsidR="005D314E" w:rsidRPr="00576C3D" w:rsidRDefault="005D314E" w:rsidP="00576C3D">
      <w:pPr>
        <w:pStyle w:val="Overskrift2"/>
      </w:pPr>
      <w:r w:rsidRPr="00576C3D">
        <w:t>Klimakvoteregelverket</w:t>
      </w:r>
    </w:p>
    <w:p w14:paraId="3C14B8FD" w14:textId="77777777" w:rsidR="005D314E" w:rsidRPr="00576C3D" w:rsidRDefault="005D314E" w:rsidP="00576C3D">
      <w:r w:rsidRPr="00576C3D">
        <w:t>Norge har deltatt i EUs klimakvotesystem siden 2008. Klimakvotedirektivet og underliggende rettsakter er tatt inn i EØS-avtalen og gjennomført i norsk rett gjennom klimakvoteloven, forurensningsloven og klimakvoteforskriften. Klimakvotesystemet er et markedsbasert virkemiddel som setter et samlet utslippstak for EU ved at et begrenset antall klimakvoter gjøres tilgjengelig i markedet. Aktører som driver virksomhet omfattet av systemet må kjøpe klimakvoter som fritt kan omsettes i markedet. Formålet er å skape insentiver til kostnadseffektive utslippsreduksjoner i aktiviteter som omfattes av systemet.</w:t>
      </w:r>
    </w:p>
    <w:p w14:paraId="020991CA" w14:textId="77777777" w:rsidR="005D314E" w:rsidRPr="00576C3D" w:rsidRDefault="005D314E" w:rsidP="00576C3D">
      <w:r w:rsidRPr="00576C3D">
        <w:t>En del av klimakvotene tildeles vederlagsfritt til sektorer som er særlig utsatt for karbonlekkasje. Reglene for vederlagsfri tildeling av klimakvoter er gjennomført i norsk rett gjennom klimakvoteforskriften kapittel 4. Kapittelet inneholder sentrale bestemmelser om tildeling og henviser til en rekke underliggende rettsakter som ligger til grunn for beregningen. Forordning (EU) 2019/331 om felles regler i unionen for vederlagsfri tildeling er den mest sentrale.</w:t>
      </w:r>
    </w:p>
    <w:p w14:paraId="442A979F" w14:textId="77777777" w:rsidR="005D314E" w:rsidRPr="00576C3D" w:rsidRDefault="005D314E" w:rsidP="00576C3D">
      <w:r w:rsidRPr="00576C3D">
        <w:t xml:space="preserve">Industrianlegg har rett på tildeling av klimakvoter under EUs klimakvoteregelverk. I klimakvotedirektivet er det regler om reduksjon av tildeling til anlegg som produserer CBAM-varer, jf. artikkel 10a. Regelen om at årlig tildeling skal reduseres som følge av innføringen av CBAM, er gjennomført i klimakvoteforskriften § 4-7 tredje ledd og gjelder fra 2026. </w:t>
      </w:r>
    </w:p>
    <w:p w14:paraId="3107932B" w14:textId="77777777" w:rsidR="005D314E" w:rsidRPr="00576C3D" w:rsidRDefault="005D314E" w:rsidP="00576C3D">
      <w:r w:rsidRPr="00576C3D">
        <w:t>Anleggene som omfattes av denne regelen vil motta følgende andel av full vederlagsfri tildeling i årene fram mot 2033:</w:t>
      </w:r>
    </w:p>
    <w:p w14:paraId="0AA5B264" w14:textId="77777777" w:rsidR="005D314E" w:rsidRPr="00576C3D" w:rsidRDefault="005D314E" w:rsidP="00576C3D">
      <w:pPr>
        <w:pStyle w:val="Liste"/>
      </w:pPr>
      <w:r w:rsidRPr="00576C3D">
        <w:t>97,5 pst. i 2026</w:t>
      </w:r>
    </w:p>
    <w:p w14:paraId="11B94AAC" w14:textId="77777777" w:rsidR="005D314E" w:rsidRPr="00576C3D" w:rsidRDefault="005D314E" w:rsidP="00576C3D">
      <w:pPr>
        <w:pStyle w:val="Liste"/>
      </w:pPr>
      <w:r w:rsidRPr="00576C3D">
        <w:t>95 pst. i 2027</w:t>
      </w:r>
    </w:p>
    <w:p w14:paraId="0C725FA3" w14:textId="77777777" w:rsidR="005D314E" w:rsidRPr="00576C3D" w:rsidRDefault="005D314E" w:rsidP="00576C3D">
      <w:pPr>
        <w:pStyle w:val="Liste"/>
      </w:pPr>
      <w:r w:rsidRPr="00576C3D">
        <w:t>90 pst. i 2028</w:t>
      </w:r>
    </w:p>
    <w:p w14:paraId="1ACB97B4" w14:textId="77777777" w:rsidR="005D314E" w:rsidRPr="00576C3D" w:rsidRDefault="005D314E" w:rsidP="00576C3D">
      <w:pPr>
        <w:pStyle w:val="Liste"/>
      </w:pPr>
      <w:r w:rsidRPr="00576C3D">
        <w:t>77,5 pst. i 2029</w:t>
      </w:r>
    </w:p>
    <w:p w14:paraId="0F87A3AB" w14:textId="77777777" w:rsidR="005D314E" w:rsidRPr="00576C3D" w:rsidRDefault="005D314E" w:rsidP="00576C3D">
      <w:pPr>
        <w:pStyle w:val="Liste"/>
      </w:pPr>
      <w:r w:rsidRPr="00576C3D">
        <w:t>51,5 pst. i 2030</w:t>
      </w:r>
    </w:p>
    <w:p w14:paraId="619E9157" w14:textId="77777777" w:rsidR="005D314E" w:rsidRPr="00576C3D" w:rsidRDefault="005D314E" w:rsidP="00576C3D">
      <w:pPr>
        <w:pStyle w:val="Liste"/>
      </w:pPr>
      <w:r w:rsidRPr="00576C3D">
        <w:t>39 pst. i 2031</w:t>
      </w:r>
    </w:p>
    <w:p w14:paraId="1B3A959E" w14:textId="77777777" w:rsidR="005D314E" w:rsidRPr="00576C3D" w:rsidRDefault="005D314E" w:rsidP="00576C3D">
      <w:pPr>
        <w:pStyle w:val="Liste"/>
      </w:pPr>
      <w:r w:rsidRPr="00576C3D">
        <w:t>26,5 pst. i 2032</w:t>
      </w:r>
    </w:p>
    <w:p w14:paraId="318A8E2A" w14:textId="77777777" w:rsidR="005D314E" w:rsidRPr="00576C3D" w:rsidRDefault="005D314E" w:rsidP="00576C3D">
      <w:pPr>
        <w:pStyle w:val="Liste"/>
      </w:pPr>
      <w:r w:rsidRPr="00576C3D">
        <w:t>14 pst. i 2033</w:t>
      </w:r>
    </w:p>
    <w:p w14:paraId="2B7CAAD7" w14:textId="77777777" w:rsidR="005D314E" w:rsidRPr="00576C3D" w:rsidRDefault="005D314E" w:rsidP="00576C3D">
      <w:r w:rsidRPr="00576C3D">
        <w:t>Fra 2034 vil anleggene ikke lenger få tildelt klimakvoter vederlagsfritt. CBAM-</w:t>
      </w:r>
      <w:proofErr w:type="spellStart"/>
      <w:r w:rsidRPr="00576C3D">
        <w:t>deklarantenes</w:t>
      </w:r>
      <w:proofErr w:type="spellEnd"/>
      <w:r w:rsidRPr="00576C3D">
        <w:t xml:space="preserve"> forpliktelse til å svare CBAM-sertifikater trappes opp i tilsvarende periode.</w:t>
      </w:r>
    </w:p>
    <w:p w14:paraId="68B2BBD1" w14:textId="77777777" w:rsidR="005D314E" w:rsidRPr="00576C3D" w:rsidRDefault="005D314E" w:rsidP="00576C3D">
      <w:pPr>
        <w:pStyle w:val="Overskrift2"/>
      </w:pPr>
      <w:r w:rsidRPr="00576C3D">
        <w:t>Vareførselslovgivningen</w:t>
      </w:r>
    </w:p>
    <w:p w14:paraId="2BDC263B" w14:textId="77777777" w:rsidR="005D314E" w:rsidRPr="00576C3D" w:rsidRDefault="005D314E" w:rsidP="00576C3D">
      <w:r w:rsidRPr="00576C3D">
        <w:t>Vareførselsloven gjelder for all inn- og utførsel av varer til og fra tollområdet. Tollområdet er det norske fastlandet og tilhørende territorialfarvann, men ikke Svalbard, Jan Mayen og Norges biland. Kontinentalsokkel og økonomisk sone inngår ikke i tollområdet.</w:t>
      </w:r>
    </w:p>
    <w:p w14:paraId="37B36F17" w14:textId="77777777" w:rsidR="005D314E" w:rsidRPr="00576C3D" w:rsidRDefault="005D314E" w:rsidP="00576C3D">
      <w:r w:rsidRPr="00576C3D">
        <w:t>Ved innførsel av varer til tollområdet er det etter vareførselsloven kapittel 2 krav om forhåndsvarsel av varer (fra tredjeland under EUs tollsikkerhetsregime), jf. § 2-1, melde- og opplysningsplikt ved ankomst til tollområdet, jf. § 2-3, og plikt til å fremlegge varene for kontroll, jf. § 2-4. Tilsvarende plikter for utførsel av varer følger av vareførselsloven kapittel 5.</w:t>
      </w:r>
    </w:p>
    <w:p w14:paraId="79B98E08" w14:textId="77777777" w:rsidR="005D314E" w:rsidRPr="00576C3D" w:rsidRDefault="005D314E" w:rsidP="00576C3D">
      <w:r w:rsidRPr="00576C3D">
        <w:t>I tillegg skal alle varer som innføres til tollområdet tollbehandles etter vareførselsloven kapittel 3, ved at varer underlegges en tollprosedyre for innførsel etter vareførselsloven kapittel 4. Dette gjøres gjennom deklarasjonsplikten i § 3-2 og ved å levere en deklarasjon til tollmyndighetene for aktuell tollprosedyre etter §§ 4-1 til 4-8. Prosedyren overgang til fri disponering, jf. § 4-1, innebærer at tollavgift og andre innførselsavgifter beregnes og at varen kan disponeres fritt i tollområdet. Deklarasjonsplikten for utførsel følger av vareførselsloven kapittel 5.</w:t>
      </w:r>
    </w:p>
    <w:p w14:paraId="5E8AD073" w14:textId="77777777" w:rsidR="005D314E" w:rsidRPr="00576C3D" w:rsidRDefault="005D314E" w:rsidP="00576C3D">
      <w:r w:rsidRPr="00576C3D">
        <w:t>Elektrisk kraft skal også underlegges en tollprosedyre ved innførsel. På grunn av varens egenskaper er det kun tollprosedyren overgang til fri disponering som er aktuell. I vareførselsforskriften § 4-1-6 niende ledd er det en særregel om at elektrisk kraft kan deklareres ved at Statnett SF rapporterer innførsel etterskuddsvis for hver måned. Det er etter § 2-1-2 annet ledd bokstav a også unntak for plikten til å gi forhåndsvarsel og etter § 2-4-5 bokstav d unntak for fremleggelsesplikten for elektrisk kraft.</w:t>
      </w:r>
    </w:p>
    <w:p w14:paraId="0E6BBC40" w14:textId="77777777" w:rsidR="005D314E" w:rsidRPr="00576C3D" w:rsidRDefault="005D314E" w:rsidP="00576C3D">
      <w:r w:rsidRPr="00576C3D">
        <w:t>Ved innenlands bearbeiding av CBAM-varer vil prosedyren innenlands bearbeiding av industrivarer, jf. vareførselsloven § 4-7, være aktuell. Ved bruk av denne tollprosedyren beregnes ikke tollavgift eller andre innførselsavgifter.</w:t>
      </w:r>
    </w:p>
    <w:p w14:paraId="56218903" w14:textId="77777777" w:rsidR="005D314E" w:rsidRPr="00576C3D" w:rsidRDefault="005D314E" w:rsidP="00576C3D">
      <w:r w:rsidRPr="00576C3D">
        <w:t>Det finnes ikke særskilte tollprosedyrer som kan benyttes for utenlands bearbeiding av varer eller for varer som returneres til Norge. I disse tilfellene må prosedyren utførsel benyttes, jf. vareførselsloven § 5-9, i kombinasjon med tekniske prosedyrekoder i TVINN (Tolletatens elektroniske deklarasjonssystem) og valgt prosedyre ved gjeninnførsel. Prosedyrekoder er koder som betegner hva innførselen eller utførselen gjelder. På den måten innhentes mer informasjon om varene som underlegges tollprosedyren for utførsel. Ved utenlands bearbeiding av en CBAM-vare, kan prosedyrekoden 2100 benyttes ved utførsel for å markere at varen skal bearbeides i utlandet, og prosedyrekode 6021 ved gjeninnførsel for å markere at varen er blitt bearbeidet i utlandet.</w:t>
      </w:r>
    </w:p>
    <w:p w14:paraId="5F9226E8" w14:textId="77777777" w:rsidR="005D314E" w:rsidRPr="00576C3D" w:rsidRDefault="005D314E" w:rsidP="00576C3D">
      <w:r w:rsidRPr="00576C3D">
        <w:t>Vareførselsloven § 7-21 har regler om tollrepresentant. Det følger av bestemmelsen at tollrepresentanten handler på vegne av den representerte og i den representertes navn. Tollrepresentanten blir derfor ikke ansvarlig for forpliktelsene den representerte har under vareførselsregelverket. I motsetning til i UCC som det henvises til i CBAM-forordningen, har ikke vareførselsloven regler om bruk av indirekte tollrepresentant. Ved indirekte tollrepresentasjon i UCC opptrer representanten i eget navn overfor tollmyndighetene, selv om et underliggende avtaleforhold viser at vedkommende opptrer på vegne av en annen. I CBAM-forordningen kan en indirekte tollrepresentant etter UCC benyttes som CBAM-</w:t>
      </w:r>
      <w:proofErr w:type="spellStart"/>
      <w:r w:rsidRPr="00576C3D">
        <w:t>deklarant</w:t>
      </w:r>
      <w:proofErr w:type="spellEnd"/>
      <w:r w:rsidRPr="00576C3D">
        <w:t xml:space="preserve">. Se mer om dette i punkt 6.2.2. Siden det ikke er noen regel om indirekte tollrepresentasjon i Norge </w:t>
      </w:r>
      <w:proofErr w:type="gramStart"/>
      <w:r w:rsidRPr="00576C3D">
        <w:t>i dag</w:t>
      </w:r>
      <w:proofErr w:type="gramEnd"/>
      <w:r w:rsidRPr="00576C3D">
        <w:t xml:space="preserve"> vil det foreslås en regel om representasjon i forskrift til CBAM-loven.</w:t>
      </w:r>
    </w:p>
    <w:p w14:paraId="04EB84ED" w14:textId="77777777" w:rsidR="005D314E" w:rsidRPr="00576C3D" w:rsidRDefault="005D314E" w:rsidP="00576C3D">
      <w:r w:rsidRPr="00576C3D">
        <w:t xml:space="preserve">Opprinnelsesregler benyttes for å avgjøre opprinnelsen til en vare. Tollavgiftsloven § 4-1 regulerer spørsmål om </w:t>
      </w:r>
      <w:proofErr w:type="spellStart"/>
      <w:r w:rsidRPr="00576C3D">
        <w:t>preferensiell</w:t>
      </w:r>
      <w:proofErr w:type="spellEnd"/>
      <w:r w:rsidRPr="00576C3D">
        <w:t xml:space="preserve"> opprinnelse ved innførsel av varer til Norge. Med </w:t>
      </w:r>
      <w:proofErr w:type="spellStart"/>
      <w:r w:rsidRPr="00576C3D">
        <w:t>preferensiell</w:t>
      </w:r>
      <w:proofErr w:type="spellEnd"/>
      <w:r w:rsidRPr="00576C3D">
        <w:t xml:space="preserve"> opprinnelse menes fastsetting av opprinnelsesland på grunnlag av frihandelsavtale eller det generelle preferansesystemet for utviklingsland (GSP). Norge har inngått frihandelsavtaler med en rekke land hvor hver avtale har sitt sett med </w:t>
      </w:r>
      <w:proofErr w:type="spellStart"/>
      <w:r w:rsidRPr="00576C3D">
        <w:t>preferensielle</w:t>
      </w:r>
      <w:proofErr w:type="spellEnd"/>
      <w:r w:rsidRPr="00576C3D">
        <w:t xml:space="preserve"> opprinnelsesregler. De </w:t>
      </w:r>
      <w:proofErr w:type="spellStart"/>
      <w:r w:rsidRPr="00576C3D">
        <w:t>preferensielle</w:t>
      </w:r>
      <w:proofErr w:type="spellEnd"/>
      <w:r w:rsidRPr="00576C3D">
        <w:t xml:space="preserve"> opprinnelsesreglene i EØS-avtalen er regulert i protokoll 4, hvor det vises til den regionale konvensjonen om felles </w:t>
      </w:r>
      <w:proofErr w:type="spellStart"/>
      <w:r w:rsidRPr="00576C3D">
        <w:t>preferensielle</w:t>
      </w:r>
      <w:proofErr w:type="spellEnd"/>
      <w:r w:rsidRPr="00576C3D">
        <w:t xml:space="preserve"> opprinnelsesregler for EFTA, EU og landene rundt Middelhavet (PEM). </w:t>
      </w:r>
      <w:proofErr w:type="spellStart"/>
      <w:r w:rsidRPr="00576C3D">
        <w:t>Preferensiell</w:t>
      </w:r>
      <w:proofErr w:type="spellEnd"/>
      <w:r w:rsidRPr="00576C3D">
        <w:t xml:space="preserve"> opprinnelse gir grunnlag for </w:t>
      </w:r>
      <w:proofErr w:type="spellStart"/>
      <w:r w:rsidRPr="00576C3D">
        <w:t>preferensiell</w:t>
      </w:r>
      <w:proofErr w:type="spellEnd"/>
      <w:r w:rsidRPr="00576C3D">
        <w:t xml:space="preserve"> tollavgiftssats, jf. tollavgiftsloven § 3-1 første ledd bokstav b og c. Tollavgiftsloven § 4-2 regulerer ikke-</w:t>
      </w:r>
      <w:proofErr w:type="spellStart"/>
      <w:r w:rsidRPr="00576C3D">
        <w:t>preferensiell</w:t>
      </w:r>
      <w:proofErr w:type="spellEnd"/>
      <w:r w:rsidRPr="00576C3D">
        <w:t xml:space="preserve"> opprinnelse ved innførsel av varer til Norge. Ikke-</w:t>
      </w:r>
      <w:proofErr w:type="spellStart"/>
      <w:r w:rsidRPr="00576C3D">
        <w:t>preferensielle</w:t>
      </w:r>
      <w:proofErr w:type="spellEnd"/>
      <w:r w:rsidRPr="00576C3D">
        <w:t xml:space="preserve"> opprinnelsesregler har betydning for andre spørsmål enn tollavgiftsatser, blant annet for </w:t>
      </w:r>
      <w:proofErr w:type="gramStart"/>
      <w:r w:rsidRPr="00576C3D">
        <w:t>anvendelse</w:t>
      </w:r>
      <w:proofErr w:type="gramEnd"/>
      <w:r w:rsidRPr="00576C3D">
        <w:t xml:space="preserve"> av handelstiltak, opprinnelsesmerking, offentlige innkjøp og handelsstatistikk. I CBAM-forordningen er det lagt opp til at EUs regler om ikke-</w:t>
      </w:r>
      <w:proofErr w:type="spellStart"/>
      <w:r w:rsidRPr="00576C3D">
        <w:t>preferensielle</w:t>
      </w:r>
      <w:proofErr w:type="spellEnd"/>
      <w:r w:rsidRPr="00576C3D">
        <w:t xml:space="preserve"> opprinnelse skal benyttes for å avgjøre om en CBAM-vare har opprinnelse i et tredjeland. Disse reglene er ikke tatt inn i EØS-avtalen og gjelder dermed ikke i norsk rett. For å sikre like vurderingskriterier i EØS for fastsettelse av om en CBAM-vare har opprinnelse i et tredjeland, arbeider departementet for å ta inn en bestemmelse i forskrift til CBAM-loven som fastslår at EUs ikke-</w:t>
      </w:r>
      <w:proofErr w:type="spellStart"/>
      <w:r w:rsidRPr="00576C3D">
        <w:t>preferensielle</w:t>
      </w:r>
      <w:proofErr w:type="spellEnd"/>
      <w:r w:rsidRPr="00576C3D">
        <w:t xml:space="preserve"> opprinnelsesregler skal benyttes for CBAM-formål. Se mer om dette i punkt 6.2.2.</w:t>
      </w:r>
    </w:p>
    <w:p w14:paraId="5A572820" w14:textId="77777777" w:rsidR="005D314E" w:rsidRPr="00576C3D" w:rsidRDefault="005D314E" w:rsidP="00576C3D">
      <w:r w:rsidRPr="00576C3D">
        <w:t>Den norske tolltariffen (forskrift om klassifisering av varer) anvendes til å klassifisere varer ved import. Om en vare omfattes av CBAM-forordningen avgjøres imidlertid utfra dens CN-kode, som er EUs system for klassifisering av varer. Det norske klassifiseringssystemet er ikke identisk EUs. For å sikre enhetlig klassifisering av CBAM-varer på tvers av EØS arbeider departementet med å fastsette regler i forskrift til CBAM-loven som regulerer hvordan varer skal klassifiseres i Norge for CBAM-formål.</w:t>
      </w:r>
    </w:p>
    <w:p w14:paraId="5CAB3E06" w14:textId="77777777" w:rsidR="005D314E" w:rsidRPr="00576C3D" w:rsidRDefault="005D314E" w:rsidP="00576C3D">
      <w:pPr>
        <w:pStyle w:val="Overskrift2"/>
      </w:pPr>
      <w:r w:rsidRPr="00576C3D">
        <w:t>Insolvenslovgivningen</w:t>
      </w:r>
    </w:p>
    <w:p w14:paraId="30774353" w14:textId="77777777" w:rsidR="005D314E" w:rsidRPr="00576C3D" w:rsidRDefault="005D314E" w:rsidP="00576C3D">
      <w:r w:rsidRPr="00576C3D">
        <w:t>Forholdet mellom insolvenslovgivningen og klimakvoteregelverket er tema i en sak som står for domstolene og som ikke er rettskraftig avgjort. I den aktuelle saken er det reist spørsmål om et flyselskaps plikt til å levere klimakvoter innen en frist kunne gjøres opp ved dividende med frigjørende virkning i forbindelse med rekonstruksjon av flyselskapet.</w:t>
      </w:r>
    </w:p>
    <w:p w14:paraId="6A5E8424" w14:textId="77777777" w:rsidR="005D314E" w:rsidRPr="00576C3D" w:rsidRDefault="005D314E" w:rsidP="00576C3D">
      <w:r w:rsidRPr="00576C3D">
        <w:t>En tilsvarende problemstilling kan tenkes å oppstå for et selskap med plikt til å levere CBAM-sertifikater. Som i klimakvoteregelverket, er det ingen unntak fra plikten til å levere CBAM-sertifikater, og plikten er strengt sanksjoner med bl.a. forhåndsfastsatte gebyrer. Regelverkets likeartete oppbygning tilsier at det kan stilles spørsmål ved hvorvidt denne plikten, som kvoteplikten, kan reduseres til et dividendekrav ved insolvens. Det vil på denne bakgrunn være naturlig å vurdere eventuelle lovgivningsmessige grep i forholdet mellom CBAM-regelverket og insolvenslovgivningen i lys av utfallet i den aktuelle saken.</w:t>
      </w:r>
    </w:p>
    <w:p w14:paraId="470053BC" w14:textId="77777777" w:rsidR="005D314E" w:rsidRPr="00576C3D" w:rsidRDefault="005D314E" w:rsidP="00576C3D">
      <w:pPr>
        <w:pStyle w:val="Overskrift1"/>
      </w:pPr>
      <w:r w:rsidRPr="00576C3D">
        <w:t>Nordisk rett</w:t>
      </w:r>
    </w:p>
    <w:p w14:paraId="72993A65" w14:textId="77777777" w:rsidR="005D314E" w:rsidRPr="00576C3D" w:rsidRDefault="005D314E" w:rsidP="00576C3D">
      <w:pPr>
        <w:pStyle w:val="Overskrift2"/>
      </w:pPr>
      <w:r w:rsidRPr="00576C3D">
        <w:t>Innledning</w:t>
      </w:r>
    </w:p>
    <w:p w14:paraId="7B62327E" w14:textId="77777777" w:rsidR="005D314E" w:rsidRPr="00576C3D" w:rsidRDefault="005D314E" w:rsidP="00576C3D">
      <w:r w:rsidRPr="00576C3D">
        <w:t>CBAM-forordningen har direkte virkning i Sverige, Danmark og Finland, som følge av at de er EU-medlemmer. CBAM-forordningen må derfor ikke gjennomføres særskilt i medlemsstatenes nasjonale rett, til forskjell fra Norge. De tre landene har imidlertid vedtatt nasjonal lovgivning som utfyller og supplerer forordningen.</w:t>
      </w:r>
    </w:p>
    <w:p w14:paraId="01380B15" w14:textId="77777777" w:rsidR="005D314E" w:rsidRPr="00576C3D" w:rsidRDefault="005D314E" w:rsidP="00576C3D">
      <w:pPr>
        <w:pStyle w:val="Overskrift2"/>
      </w:pPr>
      <w:r w:rsidRPr="00576C3D">
        <w:t>Svensk rett</w:t>
      </w:r>
    </w:p>
    <w:p w14:paraId="5E0DC91E" w14:textId="77777777" w:rsidR="005D314E" w:rsidRPr="00576C3D" w:rsidRDefault="005D314E" w:rsidP="00576C3D">
      <w:r w:rsidRPr="00576C3D">
        <w:t xml:space="preserve">Utfyllende bestemmelser til CBAM-forordningen er i Sverige gitt i </w:t>
      </w:r>
      <w:r w:rsidRPr="00576C3D">
        <w:rPr>
          <w:rStyle w:val="kursiv"/>
        </w:rPr>
        <w:t xml:space="preserve">Lag med </w:t>
      </w:r>
      <w:proofErr w:type="spellStart"/>
      <w:r w:rsidRPr="00576C3D">
        <w:rPr>
          <w:rStyle w:val="kursiv"/>
        </w:rPr>
        <w:t>kompletterande</w:t>
      </w:r>
      <w:proofErr w:type="spellEnd"/>
      <w:r w:rsidRPr="00576C3D">
        <w:rPr>
          <w:rStyle w:val="kursiv"/>
        </w:rPr>
        <w:t xml:space="preserve"> </w:t>
      </w:r>
      <w:proofErr w:type="spellStart"/>
      <w:r w:rsidRPr="00576C3D">
        <w:rPr>
          <w:rStyle w:val="kursiv"/>
        </w:rPr>
        <w:t>bestämmelser</w:t>
      </w:r>
      <w:proofErr w:type="spellEnd"/>
      <w:r w:rsidRPr="00576C3D">
        <w:rPr>
          <w:rStyle w:val="kursiv"/>
        </w:rPr>
        <w:t xml:space="preserve"> </w:t>
      </w:r>
      <w:proofErr w:type="spellStart"/>
      <w:r w:rsidRPr="00576C3D">
        <w:rPr>
          <w:rStyle w:val="kursiv"/>
        </w:rPr>
        <w:t>till</w:t>
      </w:r>
      <w:proofErr w:type="spellEnd"/>
      <w:r w:rsidRPr="00576C3D">
        <w:rPr>
          <w:rStyle w:val="kursiv"/>
        </w:rPr>
        <w:t xml:space="preserve"> </w:t>
      </w:r>
      <w:proofErr w:type="spellStart"/>
      <w:proofErr w:type="gramStart"/>
      <w:r w:rsidRPr="00576C3D">
        <w:rPr>
          <w:rStyle w:val="kursiv"/>
        </w:rPr>
        <w:t>EU:s</w:t>
      </w:r>
      <w:proofErr w:type="spellEnd"/>
      <w:proofErr w:type="gramEnd"/>
      <w:r w:rsidRPr="00576C3D">
        <w:rPr>
          <w:rStyle w:val="kursiv"/>
        </w:rPr>
        <w:t xml:space="preserve"> </w:t>
      </w:r>
      <w:proofErr w:type="spellStart"/>
      <w:r w:rsidRPr="00576C3D">
        <w:rPr>
          <w:rStyle w:val="kursiv"/>
        </w:rPr>
        <w:t>förordning</w:t>
      </w:r>
      <w:proofErr w:type="spellEnd"/>
      <w:r w:rsidRPr="00576C3D">
        <w:rPr>
          <w:rStyle w:val="kursiv"/>
        </w:rPr>
        <w:t xml:space="preserve"> om </w:t>
      </w:r>
      <w:proofErr w:type="spellStart"/>
      <w:r w:rsidRPr="00576C3D">
        <w:rPr>
          <w:rStyle w:val="kursiv"/>
        </w:rPr>
        <w:t>inrättande</w:t>
      </w:r>
      <w:proofErr w:type="spellEnd"/>
      <w:r w:rsidRPr="00576C3D">
        <w:rPr>
          <w:rStyle w:val="kursiv"/>
        </w:rPr>
        <w:t xml:space="preserve"> av en </w:t>
      </w:r>
      <w:proofErr w:type="spellStart"/>
      <w:r w:rsidRPr="00576C3D">
        <w:rPr>
          <w:rStyle w:val="kursiv"/>
        </w:rPr>
        <w:t>mekanism</w:t>
      </w:r>
      <w:proofErr w:type="spellEnd"/>
      <w:r w:rsidRPr="00576C3D">
        <w:rPr>
          <w:rStyle w:val="kursiv"/>
        </w:rPr>
        <w:t xml:space="preserve"> </w:t>
      </w:r>
      <w:proofErr w:type="spellStart"/>
      <w:r w:rsidRPr="00576C3D">
        <w:rPr>
          <w:rStyle w:val="kursiv"/>
        </w:rPr>
        <w:t>för</w:t>
      </w:r>
      <w:proofErr w:type="spellEnd"/>
      <w:r w:rsidRPr="00576C3D">
        <w:rPr>
          <w:rStyle w:val="kursiv"/>
        </w:rPr>
        <w:t xml:space="preserve"> </w:t>
      </w:r>
      <w:proofErr w:type="spellStart"/>
      <w:r w:rsidRPr="00576C3D">
        <w:rPr>
          <w:rStyle w:val="kursiv"/>
        </w:rPr>
        <w:t>koldioxidjustering</w:t>
      </w:r>
      <w:proofErr w:type="spellEnd"/>
      <w:r w:rsidRPr="00576C3D">
        <w:rPr>
          <w:rStyle w:val="kursiv"/>
        </w:rPr>
        <w:t xml:space="preserve"> vid </w:t>
      </w:r>
      <w:proofErr w:type="spellStart"/>
      <w:r w:rsidRPr="00576C3D">
        <w:rPr>
          <w:rStyle w:val="kursiv"/>
        </w:rPr>
        <w:t>gränsen</w:t>
      </w:r>
      <w:proofErr w:type="spellEnd"/>
      <w:r w:rsidRPr="00576C3D">
        <w:t xml:space="preserve"> (SFS 2024:364).</w:t>
      </w:r>
    </w:p>
    <w:p w14:paraId="51E96F59" w14:textId="77777777" w:rsidR="005D314E" w:rsidRPr="00576C3D" w:rsidRDefault="005D314E" w:rsidP="00576C3D">
      <w:r w:rsidRPr="00576C3D">
        <w:t>I den svenske loven er det gitt særlige regler om autorisasjon av CBAM-</w:t>
      </w:r>
      <w:proofErr w:type="spellStart"/>
      <w:r w:rsidRPr="00576C3D">
        <w:t>deklaranter</w:t>
      </w:r>
      <w:proofErr w:type="spellEnd"/>
      <w:r w:rsidRPr="00576C3D">
        <w:t xml:space="preserve"> i § 3 og om verifikasjon i § 4. Bestemmelsene gir regjeringen fullmakt til å fastsette forskrifter om prosedyrer for søknad om autorisasjon som CBAM-</w:t>
      </w:r>
      <w:proofErr w:type="spellStart"/>
      <w:r w:rsidRPr="00576C3D">
        <w:t>deklarant</w:t>
      </w:r>
      <w:proofErr w:type="spellEnd"/>
      <w:r w:rsidRPr="00576C3D">
        <w:t xml:space="preserve"> og tilbakekallelse av autorisasjonen i § 3, og forskrifter om verifisering av informasjon og akkreditering av </w:t>
      </w:r>
      <w:proofErr w:type="spellStart"/>
      <w:r w:rsidRPr="00576C3D">
        <w:t>verifikatører</w:t>
      </w:r>
      <w:proofErr w:type="spellEnd"/>
      <w:r w:rsidRPr="00576C3D">
        <w:t xml:space="preserve"> i § 4.</w:t>
      </w:r>
    </w:p>
    <w:p w14:paraId="03617A69" w14:textId="77777777" w:rsidR="005D314E" w:rsidRPr="00576C3D" w:rsidRDefault="005D314E" w:rsidP="00576C3D">
      <w:r w:rsidRPr="00576C3D">
        <w:t>Tilsyn er regulert i §§ 5 til 10 i loven. Bestemmelsene gir ansvarlig myndighet blant annet rett til å kreve opplysninger som er nødvendig for å utføre tilsyn og rett til uhindret adgang til bygninger, lokaler og anlegg som brukes av en fysisk eller juridisk person. Etter § 10 kan regjeringen eller den myndighet som regjeringen bestemmer, gi forskrifter om gebyr for å dekke myndighetenes kostnader med kontroll og tilsyn.</w:t>
      </w:r>
    </w:p>
    <w:p w14:paraId="4DA1AFC9" w14:textId="77777777" w:rsidR="005D314E" w:rsidRPr="00576C3D" w:rsidRDefault="005D314E" w:rsidP="00576C3D">
      <w:r w:rsidRPr="00576C3D">
        <w:t xml:space="preserve">Det </w:t>
      </w:r>
      <w:proofErr w:type="gramStart"/>
      <w:r w:rsidRPr="00576C3D">
        <w:t>fremgår</w:t>
      </w:r>
      <w:proofErr w:type="gramEnd"/>
      <w:r w:rsidRPr="00576C3D">
        <w:t xml:space="preserve"> av § 11 i loven at ansvarlig myndighet kan ilegge sanksjoner i henhold til artikkel 26 i CBAM-forordningen, overgangsbestemmelsene i artikkel 36 og artikkel 16 i gjennomføringsforordning (EU) 2023/1773.</w:t>
      </w:r>
    </w:p>
    <w:p w14:paraId="4EE1A136" w14:textId="77777777" w:rsidR="005D314E" w:rsidRPr="00576C3D" w:rsidRDefault="005D314E" w:rsidP="00576C3D">
      <w:r w:rsidRPr="00576C3D">
        <w:t>I § 12 er det gitt en regel om foreldelse, som innebærer at avgift ikke kan ilegges senere enn det fjerde året etter det tidspunktet CBAM-erklæringen skulle ha vært levert. Det er også gitt hjemmel for å fastsette nærmere regler om sanksjoner i forskrift.</w:t>
      </w:r>
    </w:p>
    <w:p w14:paraId="40F283BC" w14:textId="77777777" w:rsidR="005D314E" w:rsidRPr="00576C3D" w:rsidRDefault="005D314E" w:rsidP="00576C3D">
      <w:proofErr w:type="spellStart"/>
      <w:r w:rsidRPr="00576C3D">
        <w:t>Naturvårdsverket</w:t>
      </w:r>
      <w:proofErr w:type="spellEnd"/>
      <w:r w:rsidRPr="00576C3D">
        <w:t xml:space="preserve"> er ansvarlig myndighet etter CBAM-forordningen i Sverige.</w:t>
      </w:r>
    </w:p>
    <w:p w14:paraId="32B4AB73" w14:textId="77777777" w:rsidR="005D314E" w:rsidRPr="00576C3D" w:rsidRDefault="005D314E" w:rsidP="00576C3D">
      <w:pPr>
        <w:pStyle w:val="Overskrift2"/>
      </w:pPr>
      <w:r w:rsidRPr="00576C3D">
        <w:t>Dansk rett</w:t>
      </w:r>
    </w:p>
    <w:p w14:paraId="582220AF" w14:textId="77777777" w:rsidR="005D314E" w:rsidRPr="00576C3D" w:rsidRDefault="005D314E" w:rsidP="00576C3D">
      <w:r w:rsidRPr="00576C3D">
        <w:t xml:space="preserve">Supplerende bestemmelser til CBAM-forordningen er i Danmark gitt i </w:t>
      </w:r>
      <w:r w:rsidRPr="00576C3D">
        <w:rPr>
          <w:rStyle w:val="kursiv"/>
        </w:rPr>
        <w:t xml:space="preserve">Lov om supplerende bestemmelser til forordning om </w:t>
      </w:r>
      <w:proofErr w:type="spellStart"/>
      <w:r w:rsidRPr="00576C3D">
        <w:rPr>
          <w:rStyle w:val="kursiv"/>
        </w:rPr>
        <w:t>indførelse</w:t>
      </w:r>
      <w:proofErr w:type="spellEnd"/>
      <w:r w:rsidRPr="00576C3D">
        <w:rPr>
          <w:rStyle w:val="kursiv"/>
        </w:rPr>
        <w:t xml:space="preserve"> </w:t>
      </w:r>
      <w:proofErr w:type="spellStart"/>
      <w:r w:rsidRPr="00576C3D">
        <w:rPr>
          <w:rStyle w:val="kursiv"/>
        </w:rPr>
        <w:t>af</w:t>
      </w:r>
      <w:proofErr w:type="spellEnd"/>
      <w:r w:rsidRPr="00576C3D">
        <w:rPr>
          <w:rStyle w:val="kursiv"/>
        </w:rPr>
        <w:t xml:space="preserve"> en </w:t>
      </w:r>
      <w:proofErr w:type="spellStart"/>
      <w:r w:rsidRPr="00576C3D">
        <w:rPr>
          <w:rStyle w:val="kursiv"/>
        </w:rPr>
        <w:t>kulstofgrænsetilpasningsmekanisme</w:t>
      </w:r>
      <w:proofErr w:type="spellEnd"/>
      <w:r w:rsidRPr="00576C3D">
        <w:rPr>
          <w:rStyle w:val="kursiv"/>
        </w:rPr>
        <w:t xml:space="preserve"> (LOV nr. 1452 </w:t>
      </w:r>
      <w:proofErr w:type="spellStart"/>
      <w:r w:rsidRPr="00576C3D">
        <w:rPr>
          <w:rStyle w:val="kursiv"/>
        </w:rPr>
        <w:t>af</w:t>
      </w:r>
      <w:proofErr w:type="spellEnd"/>
      <w:r w:rsidRPr="00576C3D">
        <w:rPr>
          <w:rStyle w:val="kursiv"/>
        </w:rPr>
        <w:t xml:space="preserve"> 10/12/2024)</w:t>
      </w:r>
      <w:r w:rsidRPr="00576C3D">
        <w:t>.</w:t>
      </w:r>
    </w:p>
    <w:p w14:paraId="304CC579" w14:textId="77777777" w:rsidR="005D314E" w:rsidRPr="00576C3D" w:rsidRDefault="005D314E" w:rsidP="00576C3D">
      <w:r w:rsidRPr="00576C3D">
        <w:t>Loven gir i § 7 hjemmel for å kreve gebyr for dekning av myndighetenes kostnader knyttet til oppgaver som utføres i henhold til forordningen. Videre gir § 7 gir hjemmel for å gi særskilte pålegg om overholdelse av CBAM-forordningen.</w:t>
      </w:r>
    </w:p>
    <w:p w14:paraId="0C407C04" w14:textId="77777777" w:rsidR="005D314E" w:rsidRPr="00576C3D" w:rsidRDefault="005D314E" w:rsidP="00576C3D">
      <w:r w:rsidRPr="00576C3D">
        <w:t xml:space="preserve">Opplysningsplikt er regulert i §§ 8 og 9 i loven. Det </w:t>
      </w:r>
      <w:proofErr w:type="gramStart"/>
      <w:r w:rsidRPr="00576C3D">
        <w:t>fremgår</w:t>
      </w:r>
      <w:proofErr w:type="gramEnd"/>
      <w:r w:rsidRPr="00576C3D">
        <w:t xml:space="preserve"> av § 8 at den som er omfattet av forordningen, på anmodning fra myndighetene skal gi alle opplysninger som er nødvendige for at myndighetene kan utføre sine oppgaver etter forordningen. Videre er det gitt hjemmel for å fastsette særlige regler om oppbevaring av opplysninger, og hjemmel for innhenting av opplysninger fra Skatteforvaltningen.</w:t>
      </w:r>
    </w:p>
    <w:p w14:paraId="20E25CC1" w14:textId="77777777" w:rsidR="005D314E" w:rsidRPr="00576C3D" w:rsidRDefault="005D314E" w:rsidP="00576C3D">
      <w:r w:rsidRPr="00576C3D">
        <w:t>Digital kommunikasjon og automatisering er regulert i § 10 i loven. Bestemmelsen fastslår blant annet at det kan treffes vedtak ved hjelp av automatisert saksbehandling. Videre gis det hjemmel til å fastsette nærmere regler om digital kommunikasjon og automatisert saksbehandling.</w:t>
      </w:r>
    </w:p>
    <w:p w14:paraId="270D0D8A" w14:textId="77777777" w:rsidR="005D314E" w:rsidRPr="00576C3D" w:rsidRDefault="005D314E" w:rsidP="00576C3D">
      <w:r w:rsidRPr="00576C3D">
        <w:t>Loven § 11 gir en generell hjemmel for Klima-, energi- og forsyningsministeren til å fastsette regler som er nødvendige for å gjennomføre, anvende eller håndheve CBAM-forordningen og EU-rettsakter om forhold omfattet av denne.</w:t>
      </w:r>
    </w:p>
    <w:p w14:paraId="3ACD2E2A" w14:textId="77777777" w:rsidR="005D314E" w:rsidRPr="00576C3D" w:rsidRDefault="005D314E" w:rsidP="00576C3D">
      <w:r w:rsidRPr="00576C3D">
        <w:t>Loven har også bestemmelser om straff i § 14 for brudd på påbud etter § 7 og brudd på opplysningsplikt etter § 8.</w:t>
      </w:r>
    </w:p>
    <w:p w14:paraId="6C70E296" w14:textId="77777777" w:rsidR="005D314E" w:rsidRPr="00576C3D" w:rsidRDefault="005D314E" w:rsidP="00576C3D">
      <w:proofErr w:type="spellStart"/>
      <w:r w:rsidRPr="00576C3D">
        <w:t>Erhvervsstyrelsen</w:t>
      </w:r>
      <w:proofErr w:type="spellEnd"/>
      <w:r w:rsidRPr="00576C3D">
        <w:t xml:space="preserve"> og Energistyrelsen er ansvarlige myndigheter i Danmark. Energistyrelsen vil kontrollere CBAM-erklæringer, mens </w:t>
      </w:r>
      <w:proofErr w:type="spellStart"/>
      <w:r w:rsidRPr="00576C3D">
        <w:t>Erhvervsstyrelsen</w:t>
      </w:r>
      <w:proofErr w:type="spellEnd"/>
      <w:r w:rsidRPr="00576C3D">
        <w:t xml:space="preserve"> vil ha ansvaret for å autorisere CBAM-</w:t>
      </w:r>
      <w:proofErr w:type="spellStart"/>
      <w:r w:rsidRPr="00576C3D">
        <w:t>deklaranter</w:t>
      </w:r>
      <w:proofErr w:type="spellEnd"/>
      <w:r w:rsidRPr="00576C3D">
        <w:t>.</w:t>
      </w:r>
    </w:p>
    <w:p w14:paraId="41B192D2" w14:textId="77777777" w:rsidR="005D314E" w:rsidRPr="00576C3D" w:rsidRDefault="005D314E" w:rsidP="00576C3D">
      <w:pPr>
        <w:pStyle w:val="Overskrift2"/>
      </w:pPr>
      <w:r w:rsidRPr="00576C3D">
        <w:t>Finsk rett</w:t>
      </w:r>
    </w:p>
    <w:p w14:paraId="545A65B8" w14:textId="77777777" w:rsidR="005D314E" w:rsidRPr="00576C3D" w:rsidRDefault="005D314E" w:rsidP="00576C3D">
      <w:r w:rsidRPr="00576C3D">
        <w:t xml:space="preserve">Supplerende bestemmelser til CBAM-forordningen er i Finland gitt i </w:t>
      </w:r>
      <w:r w:rsidRPr="00576C3D">
        <w:rPr>
          <w:rStyle w:val="kursiv"/>
        </w:rPr>
        <w:t xml:space="preserve">Lag om </w:t>
      </w:r>
      <w:proofErr w:type="spellStart"/>
      <w:r w:rsidRPr="00576C3D">
        <w:rPr>
          <w:rStyle w:val="kursiv"/>
        </w:rPr>
        <w:t>ändring</w:t>
      </w:r>
      <w:proofErr w:type="spellEnd"/>
      <w:r w:rsidRPr="00576C3D">
        <w:rPr>
          <w:rStyle w:val="kursiv"/>
        </w:rPr>
        <w:t xml:space="preserve"> av </w:t>
      </w:r>
      <w:proofErr w:type="spellStart"/>
      <w:r w:rsidRPr="00576C3D">
        <w:rPr>
          <w:rStyle w:val="kursiv"/>
        </w:rPr>
        <w:t>lagen</w:t>
      </w:r>
      <w:proofErr w:type="spellEnd"/>
      <w:r w:rsidRPr="00576C3D">
        <w:rPr>
          <w:rStyle w:val="kursiv"/>
        </w:rPr>
        <w:t xml:space="preserve"> om </w:t>
      </w:r>
      <w:proofErr w:type="spellStart"/>
      <w:r w:rsidRPr="00576C3D">
        <w:rPr>
          <w:rStyle w:val="kursiv"/>
        </w:rPr>
        <w:t>genomförande</w:t>
      </w:r>
      <w:proofErr w:type="spellEnd"/>
      <w:r w:rsidRPr="00576C3D">
        <w:rPr>
          <w:rStyle w:val="kursiv"/>
        </w:rPr>
        <w:t xml:space="preserve"> av </w:t>
      </w:r>
      <w:proofErr w:type="spellStart"/>
      <w:r w:rsidRPr="00576C3D">
        <w:rPr>
          <w:rStyle w:val="kursiv"/>
        </w:rPr>
        <w:t>Europeiska</w:t>
      </w:r>
      <w:proofErr w:type="spellEnd"/>
      <w:r w:rsidRPr="00576C3D">
        <w:rPr>
          <w:rStyle w:val="kursiv"/>
        </w:rPr>
        <w:t xml:space="preserve"> Unionens </w:t>
      </w:r>
      <w:proofErr w:type="spellStart"/>
      <w:r w:rsidRPr="00576C3D">
        <w:rPr>
          <w:rStyle w:val="kursiv"/>
        </w:rPr>
        <w:t>förordning</w:t>
      </w:r>
      <w:proofErr w:type="spellEnd"/>
      <w:r w:rsidRPr="00576C3D">
        <w:rPr>
          <w:rStyle w:val="kursiv"/>
        </w:rPr>
        <w:t xml:space="preserve"> om </w:t>
      </w:r>
      <w:proofErr w:type="spellStart"/>
      <w:r w:rsidRPr="00576C3D">
        <w:rPr>
          <w:rStyle w:val="kursiv"/>
        </w:rPr>
        <w:t>inrättande</w:t>
      </w:r>
      <w:proofErr w:type="spellEnd"/>
      <w:r w:rsidRPr="00576C3D">
        <w:rPr>
          <w:rStyle w:val="kursiv"/>
        </w:rPr>
        <w:t xml:space="preserve"> av en </w:t>
      </w:r>
      <w:proofErr w:type="spellStart"/>
      <w:r w:rsidRPr="00576C3D">
        <w:rPr>
          <w:rStyle w:val="kursiv"/>
        </w:rPr>
        <w:t>mekanism</w:t>
      </w:r>
      <w:proofErr w:type="spellEnd"/>
      <w:r w:rsidRPr="00576C3D">
        <w:rPr>
          <w:rStyle w:val="kursiv"/>
        </w:rPr>
        <w:t xml:space="preserve"> </w:t>
      </w:r>
      <w:proofErr w:type="spellStart"/>
      <w:r w:rsidRPr="00576C3D">
        <w:rPr>
          <w:rStyle w:val="kursiv"/>
        </w:rPr>
        <w:t>för</w:t>
      </w:r>
      <w:proofErr w:type="spellEnd"/>
      <w:r w:rsidRPr="00576C3D">
        <w:rPr>
          <w:rStyle w:val="kursiv"/>
        </w:rPr>
        <w:t xml:space="preserve"> </w:t>
      </w:r>
      <w:proofErr w:type="spellStart"/>
      <w:r w:rsidRPr="00576C3D">
        <w:rPr>
          <w:rStyle w:val="kursiv"/>
        </w:rPr>
        <w:t>koldioxidjustering</w:t>
      </w:r>
      <w:proofErr w:type="spellEnd"/>
      <w:r w:rsidRPr="00576C3D">
        <w:rPr>
          <w:rStyle w:val="kursiv"/>
        </w:rPr>
        <w:t xml:space="preserve"> vid </w:t>
      </w:r>
      <w:proofErr w:type="spellStart"/>
      <w:r w:rsidRPr="00576C3D">
        <w:rPr>
          <w:rStyle w:val="kursiv"/>
        </w:rPr>
        <w:t>gränsen</w:t>
      </w:r>
      <w:proofErr w:type="spellEnd"/>
      <w:r w:rsidRPr="00576C3D">
        <w:rPr>
          <w:rStyle w:val="kursiv"/>
        </w:rPr>
        <w:t xml:space="preserve"> </w:t>
      </w:r>
      <w:r w:rsidRPr="00576C3D">
        <w:t>(FFS 753/2024).</w:t>
      </w:r>
    </w:p>
    <w:p w14:paraId="2AFD1F1C" w14:textId="77777777" w:rsidR="005D314E" w:rsidRPr="00576C3D" w:rsidRDefault="005D314E" w:rsidP="00576C3D">
      <w:r w:rsidRPr="00576C3D">
        <w:t>Loven § 2a regulerer finansiell sikkerhetsstillelse ved autorisasjon av CBAM-</w:t>
      </w:r>
      <w:proofErr w:type="spellStart"/>
      <w:r w:rsidRPr="00576C3D">
        <w:t>deklaranter</w:t>
      </w:r>
      <w:proofErr w:type="spellEnd"/>
      <w:r w:rsidRPr="00576C3D">
        <w:t>. Bestemmelsen gir hjemmel for å fastsette forskrifter om hvilke typer sikkerhet som aksepteres og hvilke finansinstitusjoner i EU som det kan godkjennes garantier fra.</w:t>
      </w:r>
    </w:p>
    <w:p w14:paraId="4B9F31CA" w14:textId="77777777" w:rsidR="005D314E" w:rsidRPr="00576C3D" w:rsidRDefault="005D314E" w:rsidP="00576C3D">
      <w:r w:rsidRPr="00576C3D">
        <w:t xml:space="preserve">Det </w:t>
      </w:r>
      <w:proofErr w:type="gramStart"/>
      <w:r w:rsidRPr="00576C3D">
        <w:t>fremgår</w:t>
      </w:r>
      <w:proofErr w:type="gramEnd"/>
      <w:r w:rsidRPr="00576C3D">
        <w:t xml:space="preserve"> av § 2b at søknader om autorisasjon av CBAM-</w:t>
      </w:r>
      <w:proofErr w:type="spellStart"/>
      <w:r w:rsidRPr="00576C3D">
        <w:t>deklaranter</w:t>
      </w:r>
      <w:proofErr w:type="spellEnd"/>
      <w:r w:rsidRPr="00576C3D">
        <w:t xml:space="preserve"> etter forordningen er avgiftsfrie. Departementet forstår dette slik at det ikke skal betales gebyr for saksbehandlingen.</w:t>
      </w:r>
    </w:p>
    <w:p w14:paraId="3545EA33" w14:textId="77777777" w:rsidR="005D314E" w:rsidRPr="00576C3D" w:rsidRDefault="005D314E" w:rsidP="00576C3D">
      <w:r w:rsidRPr="00576C3D">
        <w:t>Opplysningsplikt er regulert i § 3. Bestemmelsen gir tollmyndighetene rett til å få opplysninger som er nødvendige for å føre tilsyn i CBAM-forordningen, og av de som omfattes av forpliktelsene i forordningen.</w:t>
      </w:r>
    </w:p>
    <w:p w14:paraId="56367BDF" w14:textId="77777777" w:rsidR="005D314E" w:rsidRPr="00576C3D" w:rsidRDefault="005D314E" w:rsidP="00576C3D">
      <w:r w:rsidRPr="00576C3D">
        <w:t>Sanksjoner for brudd på forpliktelsene i CBAM-forordningen er regulert i § 4a i loven. Bestemmelsen gir hjemmel for å ilegge sanksjoner i henhold til artikkel 26.</w:t>
      </w:r>
    </w:p>
    <w:p w14:paraId="033AEF95" w14:textId="77777777" w:rsidR="005D314E" w:rsidRPr="00576C3D" w:rsidRDefault="005D314E" w:rsidP="00576C3D">
      <w:r w:rsidRPr="00576C3D">
        <w:t>Tollmyndighetene er ansvarlig myndighet etter CBAM-forordningen i Finland.</w:t>
      </w:r>
    </w:p>
    <w:p w14:paraId="0705EB3E" w14:textId="77777777" w:rsidR="005D314E" w:rsidRPr="00576C3D" w:rsidRDefault="005D314E" w:rsidP="00576C3D">
      <w:pPr>
        <w:pStyle w:val="Overskrift1"/>
      </w:pPr>
      <w:r w:rsidRPr="00576C3D">
        <w:t>CBAM-loven</w:t>
      </w:r>
    </w:p>
    <w:p w14:paraId="091E6147" w14:textId="77777777" w:rsidR="005D314E" w:rsidRPr="00576C3D" w:rsidRDefault="005D314E" w:rsidP="00576C3D">
      <w:pPr>
        <w:pStyle w:val="Overskrift2"/>
      </w:pPr>
      <w:r w:rsidRPr="00576C3D">
        <w:t>Innledning</w:t>
      </w:r>
    </w:p>
    <w:p w14:paraId="6D868A4B" w14:textId="77777777" w:rsidR="005D314E" w:rsidRPr="00576C3D" w:rsidRDefault="005D314E" w:rsidP="00576C3D">
      <w:r w:rsidRPr="00576C3D">
        <w:t>Formålet med lovforslaget er å gjennomføre CBAM-forordningen i norsk rett. CBAM-forordningen gjelder ikke automatisk i Norge, i motsetning til i EU-landene. For å gjøre forordningen gjeldende må den inkorporeres i norsk rett. Det innebærer at CBAM-forordningen gjennomføres med sin opprinnelige ordlyd, men i en EØS-tilpasset versjon, med de tilpasninger som følger av EØS-komitébeslutningen. Disse tilpasningene er omtalt i punkt 6 i proposisjonen.</w:t>
      </w:r>
    </w:p>
    <w:p w14:paraId="5D7441F4" w14:textId="77777777" w:rsidR="005D314E" w:rsidRPr="00576C3D" w:rsidRDefault="005D314E" w:rsidP="00576C3D">
      <w:r w:rsidRPr="00576C3D">
        <w:t>CBAM er et nytt virkemiddel uten paralleller i gjeldende rett. Det foreslås derfor en egen lov som gjennomfører forordningen. Loven vil også inneholde supplerende bestemmelser som er nødvendige for at CBAM-forordningen skal fungere i Norge, blant annet regler om tilsyn, opplysningsplikt og tvangsmulkt.</w:t>
      </w:r>
    </w:p>
    <w:p w14:paraId="5013175D" w14:textId="77777777" w:rsidR="005D314E" w:rsidRPr="00576C3D" w:rsidRDefault="005D314E" w:rsidP="00576C3D">
      <w:r w:rsidRPr="00576C3D">
        <w:t xml:space="preserve">CBAM-forordningen inneholder saksbehandlingsregler som vil supplere forvaltningslovens saksbehandlingsregler, f.eks. regler om krav til begrunnelse og underretning av enkeltvedtak, og tilhørende klagerett i artikkel 19 nr. 5 om kontroll av CBAM-erklæringer. CBAM-forordningens saksbehandlingsregler harmonerer fullt ut med tilsvarende regler i forvaltningslovens kapittel IV og kapittel 7 og 8 i ny forvaltningslov. Departementet legger </w:t>
      </w:r>
      <w:proofErr w:type="gramStart"/>
      <w:r w:rsidRPr="00576C3D">
        <w:t>for øvrig</w:t>
      </w:r>
      <w:proofErr w:type="gramEnd"/>
      <w:r w:rsidRPr="00576C3D">
        <w:t xml:space="preserve"> til grunn at CBAM-forordningen ikke gir uttømmende regler for saksbehandlingen slik at forvaltningslovens generelle saksbehandlingsregler også kommer til anvendelse. F.eks. vil forvaltningslovens krav til forhåndsvarsel av enkeltvedtak komme til anvendelse selv om ikke dette er eksplisitt regulert i CBAM-forordningen.</w:t>
      </w:r>
    </w:p>
    <w:p w14:paraId="07742FF1" w14:textId="77777777" w:rsidR="005D314E" w:rsidRPr="00576C3D" w:rsidRDefault="005D314E" w:rsidP="00576C3D">
      <w:r w:rsidRPr="00576C3D">
        <w:t>Parallelt med arbeidet med lovforslaget har EU vedtatt endringer i CBAM-forordningen gjennom endringsforordningen om forenklinger. I enkelte punkter der det er nødvendig å skille mellom forordningene omtales de hver for seg. Dette gjelder punkt 5.3, 5.4, 5.5.2 og 5.11.</w:t>
      </w:r>
    </w:p>
    <w:p w14:paraId="0F5FEC46" w14:textId="77777777" w:rsidR="005D314E" w:rsidRPr="00576C3D" w:rsidRDefault="005D314E" w:rsidP="00576C3D">
      <w:r w:rsidRPr="00576C3D">
        <w:t>I det følgende gis det en kronologisk oversikt over lovens bestemmelser og bakgrunnen for disse.</w:t>
      </w:r>
    </w:p>
    <w:p w14:paraId="6DF7E3FD" w14:textId="77777777" w:rsidR="005D314E" w:rsidRPr="00576C3D" w:rsidRDefault="005D314E" w:rsidP="00576C3D">
      <w:pPr>
        <w:pStyle w:val="Overskrift2"/>
      </w:pPr>
      <w:r w:rsidRPr="00576C3D">
        <w:t>Lovens virkeområde i § 1</w:t>
      </w:r>
    </w:p>
    <w:p w14:paraId="59F24157" w14:textId="77777777" w:rsidR="005D314E" w:rsidRPr="00576C3D" w:rsidRDefault="005D314E" w:rsidP="00576C3D">
      <w:pPr>
        <w:pStyle w:val="Overskrift3"/>
      </w:pPr>
      <w:r w:rsidRPr="00576C3D">
        <w:t>Forslaget i høringsnotatet</w:t>
      </w:r>
    </w:p>
    <w:p w14:paraId="3DC19E1E" w14:textId="77777777" w:rsidR="005D314E" w:rsidRPr="00576C3D" w:rsidRDefault="005D314E" w:rsidP="00576C3D">
      <w:r w:rsidRPr="00576C3D">
        <w:t>Departementet foreslo i høringsnotatet at CBAM-loven sitt virkeområde i § 1 skulle fastsettes i samsvar med CBAM-forordningen artikkel 2, slik at loven legger til rette for gjennomføring av forordningen og underliggende rettsakter i norsk rett. Forslaget innebar at loven skal gjelde ved import av varer til Norges tollområde, som omfatter det norske fastlandet og territorialfarvannet, men ikke Svalbard, Jan Mayen eller Norges biland.</w:t>
      </w:r>
    </w:p>
    <w:p w14:paraId="47DBB3DF" w14:textId="77777777" w:rsidR="005D314E" w:rsidRPr="00576C3D" w:rsidRDefault="005D314E" w:rsidP="00576C3D">
      <w:r w:rsidRPr="00576C3D">
        <w:t>I tillegg ble det foreslått at loven skal gjelde når varer føres til kontinentalsokkelen og økonomisk sone, forutsatt at områdene er tilstøtende til tollområdet. Kontinentalsokkelen utenfor Antarktis og Norges biland faller utenfor virkeområdet, ettersom disse ikke anses som tilstøtende.</w:t>
      </w:r>
    </w:p>
    <w:p w14:paraId="52905D15" w14:textId="77777777" w:rsidR="005D314E" w:rsidRPr="00576C3D" w:rsidRDefault="005D314E" w:rsidP="00576C3D">
      <w:r w:rsidRPr="00576C3D">
        <w:t>Departementet presiserte i høringen at CBAM-loven også må gjelde når aktører etablert i Norge importerer varer til andre tollområder innenfor EØS, med unntak for Liechtenstein, som ikke vil omfattes av CBAM. Når CBAM-forordningen er innlemmet i EØS-avtalen, vil loven omfatte CBAM-varer med opprinnelse i tredjeland som importeres til EU, Norge og Islands tollområder, samt varer som føres til installasjoner og innretninger i eller på kontinentalsokler eller økonomiske soner som er tilstøtende til disse områdene. Dette betyr at norske CBAM-</w:t>
      </w:r>
      <w:proofErr w:type="spellStart"/>
      <w:r w:rsidRPr="00576C3D">
        <w:t>deklaranter</w:t>
      </w:r>
      <w:proofErr w:type="spellEnd"/>
      <w:r w:rsidRPr="00576C3D">
        <w:t xml:space="preserve"> som importerer til EU eller Island må oppfylle kravene til CBAM-erklæringer og levere tilstrekkelig antall CBAM-sertifikater. Selv om disse aktørene importerer til EU eller Island, og ikke Norge, må de forholde seg til norske myndigheter så lenge de er etablert i Norge.</w:t>
      </w:r>
    </w:p>
    <w:p w14:paraId="074FDE20" w14:textId="77777777" w:rsidR="005D314E" w:rsidRPr="00576C3D" w:rsidRDefault="005D314E" w:rsidP="00576C3D">
      <w:pPr>
        <w:pStyle w:val="Overskrift3"/>
      </w:pPr>
      <w:r w:rsidRPr="00576C3D">
        <w:t>Høringsinnspill</w:t>
      </w:r>
    </w:p>
    <w:p w14:paraId="1E092FE5" w14:textId="77777777" w:rsidR="005D314E" w:rsidRPr="00576C3D" w:rsidRDefault="005D314E" w:rsidP="00576C3D">
      <w:r w:rsidRPr="00576C3D">
        <w:t xml:space="preserve">Det har kommet ett innspill til bestemmelsen om virkeområde i § 1. </w:t>
      </w:r>
      <w:r w:rsidRPr="00576C3D">
        <w:rPr>
          <w:rStyle w:val="kursiv"/>
        </w:rPr>
        <w:t>Posten Bring AS</w:t>
      </w:r>
      <w:r w:rsidRPr="00576C3D">
        <w:t xml:space="preserve"> ber om at loven tydelig presiserer at ansvaret som CBAM-</w:t>
      </w:r>
      <w:proofErr w:type="spellStart"/>
      <w:r w:rsidRPr="00576C3D">
        <w:t>deklarant</w:t>
      </w:r>
      <w:proofErr w:type="spellEnd"/>
      <w:r w:rsidRPr="00576C3D">
        <w:t xml:space="preserve"> skal ligge hos den juridiske importøren av varene, og ikke hos transport- eller logistikkaktører som kun frakter eller fortoller varer på vegne av kunder.</w:t>
      </w:r>
    </w:p>
    <w:p w14:paraId="617F157E" w14:textId="77777777" w:rsidR="005D314E" w:rsidRPr="00576C3D" w:rsidRDefault="005D314E" w:rsidP="00576C3D">
      <w:pPr>
        <w:pStyle w:val="Overskrift3"/>
      </w:pPr>
      <w:r w:rsidRPr="00576C3D">
        <w:t>Departementets vurdering</w:t>
      </w:r>
    </w:p>
    <w:p w14:paraId="6368708B" w14:textId="77777777" w:rsidR="005D314E" w:rsidRPr="00576C3D" w:rsidRDefault="005D314E" w:rsidP="00576C3D">
      <w:r w:rsidRPr="00576C3D">
        <w:t>Departementet opprettholder forslaget i høringsnotatet med enkelte presiseringer i ordlyden. Det presiseres at henvisningen i høringsnotatet til at lovens virkeområde fastsettes «i samsvar» med CBAM-forordningen artikkel 2, ikke innebærer at alle forhold nevnt i artikkel 2 omtales i virkeområdebestemmelsen i CBAM-loven § 1. Etter EØS-avtalen artikkel 7 skal forordningen gjennomføres «som sådan». Det betyr at CBAM-forordningen artikkel 2 vil gjelde som lov når CBAM-loven trer i kraft. Virkeområdet til CBAM-loven skal derfor kun fastsettes slik at loven kan gi hjemmel til å gjennomføre CBAM-forordningen og underliggende rettsakter, i tillegg til de nasjonale bestemmelsene som foreslås i §§ 2 til 7. Departementet vurderer at bestemmelsen slik den ble foreslått i høringsnotatet er tilstrekkelig for å oppnå dette formålet.</w:t>
      </w:r>
    </w:p>
    <w:p w14:paraId="38B2624F" w14:textId="77777777" w:rsidR="005D314E" w:rsidRPr="00576C3D" w:rsidRDefault="005D314E" w:rsidP="00576C3D">
      <w:r w:rsidRPr="00576C3D">
        <w:t xml:space="preserve">Departementet viderefører forslaget fra høringsnotatet om at CBAM-loven skal gjelde på kontinentalsokkelen og i økonomisk sone, jf. CBAM-forordningen artikkel 2 nr. 2. Ulike geografiske virkeområder for CBAM i EØS/EFTA-statene og EU ville ellers åpne for omgåelse av regelverket og svekke CBAM som virkemiddel. Departementet viser til at det er inntatt en erklæring om CBAM-forordningens </w:t>
      </w:r>
      <w:proofErr w:type="gramStart"/>
      <w:r w:rsidRPr="00576C3D">
        <w:t>anvendelse</w:t>
      </w:r>
      <w:proofErr w:type="gramEnd"/>
      <w:r w:rsidRPr="00576C3D">
        <w:t xml:space="preserve"> i disse områdene i utkastet til EØS-komitébeslutning. Departementet viser til omtalen av dette i punkt 6.1.</w:t>
      </w:r>
    </w:p>
    <w:p w14:paraId="2E723410" w14:textId="77777777" w:rsidR="005D314E" w:rsidRPr="00576C3D" w:rsidRDefault="005D314E" w:rsidP="00576C3D">
      <w:r w:rsidRPr="00576C3D">
        <w:t>Departementet vurderer at det ikke er behov for å presisere i CBAM-loven at ansvaret som CBAM-</w:t>
      </w:r>
      <w:proofErr w:type="spellStart"/>
      <w:r w:rsidRPr="00576C3D">
        <w:t>deklarant</w:t>
      </w:r>
      <w:proofErr w:type="spellEnd"/>
      <w:r w:rsidRPr="00576C3D">
        <w:t xml:space="preserve"> skal ligge hos den juridiske importøren av varene. At det er CBAM-</w:t>
      </w:r>
      <w:proofErr w:type="spellStart"/>
      <w:r w:rsidRPr="00576C3D">
        <w:t>deklaranter</w:t>
      </w:r>
      <w:proofErr w:type="spellEnd"/>
      <w:r w:rsidRPr="00576C3D">
        <w:t xml:space="preserve"> som er ansvarlige for forpliktelsene følger direkte av CBAM-forordningen, som gjennomføres i norsk rett «som sådan» i CBAM-loven § 2. Hvilke rettssubjekter som anses som CBAM-</w:t>
      </w:r>
      <w:proofErr w:type="spellStart"/>
      <w:r w:rsidRPr="00576C3D">
        <w:t>deklaranter</w:t>
      </w:r>
      <w:proofErr w:type="spellEnd"/>
      <w:r w:rsidRPr="00576C3D">
        <w:t xml:space="preserve"> fremgår også av forordningen. Departementet vurderer at det ikke er nødvendig å gjengi dette i loven, og fordi slik gjengivelse </w:t>
      </w:r>
      <w:proofErr w:type="gramStart"/>
      <w:r w:rsidRPr="00576C3D">
        <w:t>potensielt</w:t>
      </w:r>
      <w:proofErr w:type="gramEnd"/>
      <w:r w:rsidRPr="00576C3D">
        <w:t xml:space="preserve"> kan stride mot EØS-rettens krav om å ikke gjengi forordningsbestemmelser i lov for å minne om dem eller fremstille dem i et mer velkjent format. </w:t>
      </w:r>
    </w:p>
    <w:p w14:paraId="6E44089A" w14:textId="77777777" w:rsidR="005D314E" w:rsidRPr="00576C3D" w:rsidRDefault="005D314E" w:rsidP="00576C3D">
      <w:r w:rsidRPr="00576C3D">
        <w:t>Ved utarbeidelsen av høringsnotatet ble det vurdert om endringsforordningen om forenklinger nødvendiggjorde justeringer i bestemmelsen om virkeområde i CBAM-loven § 1. Dette ble ikke ansett som nødvendig, men departementet skulle vurdere dette nærmere i proposisjonen. Selv om endringsforordningen endrer forordningens bestemmelse om virkeområde ved å innta en bestemmelse om terskelverdi, er departementets vurdering fremdeles at det ikke er behov for å justere CBAM-lovens virkeområde i § 1. Slik virkeområdet i loven foreslås, må bestemmelsen etter departementets syn også omfatte importører under terskelverdien, for eksempel i forbindelse med rapportering av tolldata etter CBAM-forordningen artikkel 25. Det vurderes på denne bakgrunn at det ikke er nødvendig å gjøre endringer i angivelsen og departementet fastholder forslaget som ble sendt på høring.</w:t>
      </w:r>
    </w:p>
    <w:p w14:paraId="430ADE07" w14:textId="77777777" w:rsidR="005D314E" w:rsidRPr="00576C3D" w:rsidRDefault="005D314E" w:rsidP="00576C3D">
      <w:pPr>
        <w:pStyle w:val="Overskrift2"/>
      </w:pPr>
      <w:r w:rsidRPr="00576C3D">
        <w:t>Inkorporasjon av CBAM-forordningen i § 2 første ledd</w:t>
      </w:r>
    </w:p>
    <w:p w14:paraId="12F4838B" w14:textId="77777777" w:rsidR="005D314E" w:rsidRPr="00576C3D" w:rsidRDefault="005D314E" w:rsidP="00576C3D">
      <w:pPr>
        <w:pStyle w:val="Overskrift3"/>
      </w:pPr>
      <w:r w:rsidRPr="00576C3D">
        <w:t>Forslaget i høringsnotatet</w:t>
      </w:r>
    </w:p>
    <w:p w14:paraId="49672C89" w14:textId="77777777" w:rsidR="005D314E" w:rsidRPr="00576C3D" w:rsidRDefault="005D314E" w:rsidP="00576C3D">
      <w:r w:rsidRPr="00576C3D">
        <w:t>CBAM-forordningen etablerer nye regler som bør reguleres i lov. Departementet foreslo derfor at CBAM-forordningen gjennomføres i norsk rett ved inkorporasjon i en ny lov om justering av karbonpris ved import av varer til EØS, med korttittel «CBAM-loven». Inkorporasjonsbestemmelsen ble foreslått i § 2 første ledd.</w:t>
      </w:r>
    </w:p>
    <w:p w14:paraId="162450B9" w14:textId="77777777" w:rsidR="005D314E" w:rsidRPr="00576C3D" w:rsidRDefault="005D314E" w:rsidP="00576C3D">
      <w:pPr>
        <w:pStyle w:val="Overskrift3"/>
      </w:pPr>
      <w:r w:rsidRPr="00576C3D">
        <w:t>Høringsinnspill</w:t>
      </w:r>
    </w:p>
    <w:p w14:paraId="0A399197" w14:textId="77777777" w:rsidR="005D314E" w:rsidRPr="00576C3D" w:rsidRDefault="005D314E" w:rsidP="00576C3D">
      <w:r w:rsidRPr="00576C3D">
        <w:t>Det er ikke kommet noen høringsinnspill knyttet til utformingen av § 2 første ledd. Departementet forstår imidlertid høringsinstansene slik at det er bred støtte til gjennomføringen av CBAM-forordningen i norsk rett, og at det ikke er reist innvendinger mot at dette gjøres gjennom inkorporasjon i en ny lov. Det vises til nærmere omtale av høringsinnspillene i punkt 2.4.</w:t>
      </w:r>
    </w:p>
    <w:p w14:paraId="5D93132A" w14:textId="77777777" w:rsidR="005D314E" w:rsidRPr="00576C3D" w:rsidRDefault="005D314E" w:rsidP="00576C3D">
      <w:pPr>
        <w:pStyle w:val="Overskrift3"/>
      </w:pPr>
      <w:r w:rsidRPr="00576C3D">
        <w:t>Departementets vurdering</w:t>
      </w:r>
    </w:p>
    <w:p w14:paraId="6E530CC5" w14:textId="77777777" w:rsidR="005D314E" w:rsidRPr="00576C3D" w:rsidRDefault="005D314E" w:rsidP="00576C3D">
      <w:r w:rsidRPr="00576C3D">
        <w:t>Departementet opprettholder forslaget fra høringsnotatet med noen språklige justeringer i ordlyden, se lovforslaget § 2 første ledd.</w:t>
      </w:r>
    </w:p>
    <w:p w14:paraId="031DCB98" w14:textId="77777777" w:rsidR="005D314E" w:rsidRPr="00576C3D" w:rsidRDefault="005D314E" w:rsidP="00576C3D">
      <w:r w:rsidRPr="00576C3D">
        <w:t>CBAM-forordningen gjennomføres «som sådan», jf. EØS-avtalen artikkel 7 bokstav a. Det innebærer at ordlyden i forordningen i EØS-tilpasset versjon, inkludert de tilpasningene som fastsettes i EØS-komitébeslutningen, blir en del av norsk rett i sin helhet og uten omskriving.</w:t>
      </w:r>
    </w:p>
    <w:p w14:paraId="29183A98" w14:textId="77777777" w:rsidR="005D314E" w:rsidRPr="00576C3D" w:rsidRDefault="005D314E" w:rsidP="00576C3D">
      <w:r w:rsidRPr="00576C3D">
        <w:t>I denne proposisjonen ber departementet om Stortingets samtykke til deltakelse i en EØS-komitebeslutning om innlemmelse i EØS-avtalen av CBAM-</w:t>
      </w:r>
      <w:proofErr w:type="spellStart"/>
      <w:proofErr w:type="gramStart"/>
      <w:r w:rsidRPr="00576C3D">
        <w:t>forordningen.Departementet</w:t>
      </w:r>
      <w:proofErr w:type="spellEnd"/>
      <w:proofErr w:type="gramEnd"/>
      <w:r w:rsidRPr="00576C3D">
        <w:t xml:space="preserve"> redegjør nærmere for forordningens innhold i punkt 2.2 og for innholdet i utkastet til en beslutning i EØS-komiteen om CBAM-forordningen i punkt 6.2.</w:t>
      </w:r>
    </w:p>
    <w:p w14:paraId="218CB1CA" w14:textId="3736E72C" w:rsidR="005D314E" w:rsidRPr="00576C3D" w:rsidRDefault="005D314E" w:rsidP="00576C3D">
      <w:pPr>
        <w:pStyle w:val="Overskrift2"/>
      </w:pPr>
      <w:r w:rsidRPr="00576C3D">
        <w:t>Inkorporasjon av endringsforordningen i § 2 første ledd</w:t>
      </w:r>
    </w:p>
    <w:p w14:paraId="2D8D5153" w14:textId="77777777" w:rsidR="005D314E" w:rsidRPr="00576C3D" w:rsidRDefault="005D314E" w:rsidP="00576C3D">
      <w:pPr>
        <w:pStyle w:val="Overskrift3"/>
      </w:pPr>
      <w:r w:rsidRPr="00576C3D">
        <w:t>Endringsforordningen om forenklinger (EU) 2025/2083</w:t>
      </w:r>
    </w:p>
    <w:p w14:paraId="2175A6CF" w14:textId="77777777" w:rsidR="005D314E" w:rsidRPr="00576C3D" w:rsidRDefault="005D314E" w:rsidP="00576C3D">
      <w:r w:rsidRPr="00576C3D">
        <w:t xml:space="preserve">Rådet og Europaparlamentet vedtok 8. oktober 2025 forordning (EU) 2025/2083 som endrer CBAM-forordningen. Formålet med endringene er å redusere den samlede administrative byrden for aktører i EU, operatører i tredjeland og nasjonale myndigheter, uten å svekke </w:t>
      </w:r>
      <w:proofErr w:type="spellStart"/>
      <w:r w:rsidRPr="00576C3D">
        <w:t>CBAMs</w:t>
      </w:r>
      <w:proofErr w:type="spellEnd"/>
      <w:r w:rsidRPr="00576C3D">
        <w:t xml:space="preserve"> miljømål. Endringene gir også Kommisjonen en utvidet rolle i å overvåke etterlevelse.</w:t>
      </w:r>
    </w:p>
    <w:p w14:paraId="398D1BE1" w14:textId="77777777" w:rsidR="005D314E" w:rsidRPr="00576C3D" w:rsidRDefault="005D314E" w:rsidP="00576C3D">
      <w:r w:rsidRPr="00576C3D">
        <w:t>Den mest betydelige endringen er innføringen av en nedre importgrense per kalenderår. Importører under denne grensen er unntatt fra forpliktelsene i CBAM-forordningen. Grensen er fastsatt slik at om lag 99 pst. av produksjonsutslippene fra CBAM-varer som importeres til EU fortsatt omfattes av regelverket. Grensen er fastsatt til 50 tonn CBAM-varer årlig, foruten import av elektrisitet og hydrogen. Grensen kan ved behov endres av Kommisjonen for å sikre at formålet oppfylles dersom det skjer endringer i omfanget av produksjonsutslipp fra importerte varer</w:t>
      </w:r>
    </w:p>
    <w:p w14:paraId="757367EB" w14:textId="77777777" w:rsidR="005D314E" w:rsidRPr="00576C3D" w:rsidRDefault="005D314E" w:rsidP="00576C3D">
      <w:r w:rsidRPr="00576C3D">
        <w:t>Departementet omtaler endringene sammen med CBAM-forordningens innhold i punkt 2.2. En uoffisiell oversettelse av forordning (EU) 2025/2083 er vedlagt proposisjonen.</w:t>
      </w:r>
    </w:p>
    <w:p w14:paraId="676692C3" w14:textId="77777777" w:rsidR="005D314E" w:rsidRPr="00576C3D" w:rsidRDefault="005D314E" w:rsidP="00576C3D">
      <w:pPr>
        <w:pStyle w:val="Overskrift3"/>
      </w:pPr>
      <w:r w:rsidRPr="00576C3D">
        <w:t>Forslaget i høringsnotatet</w:t>
      </w:r>
    </w:p>
    <w:p w14:paraId="65192E5C" w14:textId="77777777" w:rsidR="005D314E" w:rsidRPr="00576C3D" w:rsidRDefault="005D314E" w:rsidP="00576C3D">
      <w:r w:rsidRPr="00576C3D">
        <w:t xml:space="preserve">I høringsnotatet foreslo departementet å holde det åpent om endringsforordningen om forenklinger skulle gjennomføres i CBAM-loven eller i forskrift i </w:t>
      </w:r>
      <w:proofErr w:type="gramStart"/>
      <w:r w:rsidRPr="00576C3D">
        <w:t>medhold av</w:t>
      </w:r>
      <w:proofErr w:type="gramEnd"/>
      <w:r w:rsidRPr="00576C3D">
        <w:t xml:space="preserve"> loven gjennom en derogasjonsbestemmelse. I utgangspunktet skal endringsforordningen gjennomføres på samme lovtekniske nivå som CBAM-forordningen. På høringstidspunktet var det ikke avklart om det på tidspunktet for fremleggelse av proposisjonen for Stortinget ville være oppnådd tilstrekkelig enighet med Kommisjonen om en beslutning om innlemmelse av endringsforordningen i EØS-avtalen, til å presentere innholdet for Stortinget. På tidspunktet for den offentlige høringen av lovforslaget hadde endringsforordningen nettopp blitt vedtatt i EU og prosessen med innlemmelse i EØS-avtalen var ikke påbegynt. Det ble derfor foreslått å holde det åpent hvorvidt endringsforordningen skulle gjennomføres i CBAM-loven eller i forskrift gitt i </w:t>
      </w:r>
      <w:proofErr w:type="gramStart"/>
      <w:r w:rsidRPr="00576C3D">
        <w:t>medhold av</w:t>
      </w:r>
      <w:proofErr w:type="gramEnd"/>
      <w:r w:rsidRPr="00576C3D">
        <w:t xml:space="preserve"> loven.</w:t>
      </w:r>
    </w:p>
    <w:p w14:paraId="1214725D" w14:textId="77777777" w:rsidR="005D314E" w:rsidRPr="00576C3D" w:rsidRDefault="005D314E" w:rsidP="00576C3D">
      <w:pPr>
        <w:pStyle w:val="Overskrift3"/>
      </w:pPr>
      <w:r w:rsidRPr="00576C3D">
        <w:t>Høringsinnspill</w:t>
      </w:r>
    </w:p>
    <w:p w14:paraId="357425B0" w14:textId="77777777" w:rsidR="005D314E" w:rsidRPr="00576C3D" w:rsidRDefault="005D314E" w:rsidP="00576C3D">
      <w:r w:rsidRPr="00576C3D">
        <w:t xml:space="preserve">Det er ikke kommet inn noen høringsinnspill knyttet til hvordan endringsforordningen om forenklinger bør gjennomføres i norsk rett. </w:t>
      </w:r>
      <w:r w:rsidRPr="00576C3D">
        <w:rPr>
          <w:rStyle w:val="kursiv"/>
        </w:rPr>
        <w:t>Nærings- og fiskeridepartementet</w:t>
      </w:r>
      <w:r w:rsidRPr="00576C3D">
        <w:t xml:space="preserve"> mener imidlertid at det bør gjøres tydeligere at Norge vil gjennomføre endringsforordningen om forenklinger, slik at det ikke blir høyere regel- og </w:t>
      </w:r>
      <w:proofErr w:type="spellStart"/>
      <w:r w:rsidRPr="00576C3D">
        <w:t>rapporteringsbyrde</w:t>
      </w:r>
      <w:proofErr w:type="spellEnd"/>
      <w:r w:rsidRPr="00576C3D">
        <w:t xml:space="preserve"> for norsk næringsliv enn </w:t>
      </w:r>
      <w:proofErr w:type="gramStart"/>
      <w:r w:rsidRPr="00576C3D">
        <w:t>for øvrig</w:t>
      </w:r>
      <w:proofErr w:type="gramEnd"/>
      <w:r w:rsidRPr="00576C3D">
        <w:t xml:space="preserve"> næringsliv i EØS.</w:t>
      </w:r>
    </w:p>
    <w:p w14:paraId="43D6AADA" w14:textId="77777777" w:rsidR="005D314E" w:rsidRPr="00576C3D" w:rsidRDefault="005D314E" w:rsidP="00576C3D">
      <w:pPr>
        <w:pStyle w:val="Overskrift3"/>
      </w:pPr>
      <w:r w:rsidRPr="00576C3D">
        <w:t>Departementets vurdering</w:t>
      </w:r>
    </w:p>
    <w:p w14:paraId="1D6545D7" w14:textId="77777777" w:rsidR="005D314E" w:rsidRPr="00576C3D" w:rsidRDefault="005D314E" w:rsidP="00576C3D">
      <w:r w:rsidRPr="00576C3D">
        <w:t xml:space="preserve">Når CBAM-forordningen fikk i sin helhet </w:t>
      </w:r>
      <w:proofErr w:type="gramStart"/>
      <w:r w:rsidRPr="00576C3D">
        <w:t>anvendelse</w:t>
      </w:r>
      <w:proofErr w:type="gramEnd"/>
      <w:r w:rsidRPr="00576C3D">
        <w:t xml:space="preserve"> i EU 1. januar 2026, inkluderte det endringsforordningen om forenklinger. For å sikre rettsenhet i EØS, bør CBAM-forordningen gis </w:t>
      </w:r>
      <w:proofErr w:type="gramStart"/>
      <w:r w:rsidRPr="00576C3D">
        <w:t>anvendelse</w:t>
      </w:r>
      <w:proofErr w:type="gramEnd"/>
      <w:r w:rsidRPr="00576C3D">
        <w:t xml:space="preserve"> i Norge med endringene som følger av endringsforordningen. Begge forordningene må dermed gjelde fra samme tidspunkt.</w:t>
      </w:r>
    </w:p>
    <w:p w14:paraId="5134F803" w14:textId="77777777" w:rsidR="005D314E" w:rsidRPr="00576C3D" w:rsidRDefault="005D314E" w:rsidP="00576C3D">
      <w:r w:rsidRPr="00576C3D">
        <w:t>Endringsforordningen har regler som er av lovs karakter, som for eksempel regler om overvåkning og kontroll av den nedre importgrensen. I og med at CBAM-forordningen foreslås gjennomført i lov, skal i utgangspunktet også endringene gjennomføres på samme sted. Da det i tiden etter høringen er oppnådd tilstrekkelig enighet om innlemmelse av endringsforordningen i EØS-avtalen, er det ingen grunn til å vike fra dette utgangspunktet. Departementet foreslår derfor at endringsforordningen om forenklinger også gjennomføres i lov og inkorporeres i norsk rett gjennom CBAM-loven § 2 første ledd.</w:t>
      </w:r>
    </w:p>
    <w:p w14:paraId="781B59B0" w14:textId="77777777" w:rsidR="005D314E" w:rsidRPr="00576C3D" w:rsidRDefault="005D314E" w:rsidP="00576C3D">
      <w:pPr>
        <w:pStyle w:val="Overskrift2"/>
      </w:pPr>
      <w:r w:rsidRPr="00576C3D">
        <w:t>Gjennomføring av underliggende rettsakter i § 2 annet ledd</w:t>
      </w:r>
    </w:p>
    <w:p w14:paraId="4C4CA388" w14:textId="77777777" w:rsidR="005D314E" w:rsidRPr="00576C3D" w:rsidRDefault="005D314E" w:rsidP="00576C3D">
      <w:pPr>
        <w:pStyle w:val="Overskrift3"/>
      </w:pPr>
      <w:r w:rsidRPr="00576C3D">
        <w:t>Innledning</w:t>
      </w:r>
    </w:p>
    <w:p w14:paraId="332A7625" w14:textId="77777777" w:rsidR="005D314E" w:rsidRPr="00576C3D" w:rsidRDefault="005D314E" w:rsidP="00576C3D">
      <w:r w:rsidRPr="00576C3D">
        <w:t>Kommisjonen har i CBAM-forordningen fått myndighet til å vedta utfyllende rettsakter – såkalte nivå-2 rettsakter. Slike utfyllende rettsakter har normalt et innhold som er av mer detaljert og teknisk karakter, og dette er også tilfellet for de underliggende rettsaktene til CBAM-forordningen. Rettsaktene hører av denne grunn naturlig hjemme i forskrift, og gjennomføring av de underliggende rettsaktene på forskriftsnivå vil også tilsvare lovgivningsnivået i EU.</w:t>
      </w:r>
    </w:p>
    <w:p w14:paraId="7F0325D5" w14:textId="77777777" w:rsidR="005D314E" w:rsidRPr="00576C3D" w:rsidRDefault="005D314E" w:rsidP="00576C3D">
      <w:r w:rsidRPr="00576C3D">
        <w:t>For å sikre at underliggende rettsakter kan gjennomføres på egnet sted i norsk rett foreslår departementet en forskriftshjemmel i CBAM-loven § 2 andre ledd, som gir Kongen kompetanse til å gjennomføre slike underliggende rettsakter i forskrift.</w:t>
      </w:r>
    </w:p>
    <w:p w14:paraId="36CF45A7" w14:textId="77777777" w:rsidR="005D314E" w:rsidRPr="00576C3D" w:rsidRDefault="005D314E" w:rsidP="00576C3D">
      <w:r w:rsidRPr="00576C3D">
        <w:t>Punkt 5.5.2 i proposisjonen redegjør for Kommisjonens hjemler til å vedta utfyllende regelverk, mens punkt 5.5.3 gir en oversikt over underliggende rettsakter som allerede er vedtatt eller som er under utvikling. Hittil er elleve underliggende rettsakter vedtatt og publisert i EU. I punkt 5.5.4 til 5.5.6 gis en nærmere omtale av forslaget til forskriftshjemmel.</w:t>
      </w:r>
    </w:p>
    <w:p w14:paraId="48AFF973" w14:textId="77777777" w:rsidR="005D314E" w:rsidRPr="00576C3D" w:rsidRDefault="005D314E" w:rsidP="00576C3D">
      <w:pPr>
        <w:pStyle w:val="Overskrift3"/>
      </w:pPr>
      <w:r w:rsidRPr="00576C3D">
        <w:t>Kommisjonens delegerte myndighet</w:t>
      </w:r>
    </w:p>
    <w:p w14:paraId="22018C31" w14:textId="77777777" w:rsidR="005D314E" w:rsidRPr="00576C3D" w:rsidRDefault="005D314E" w:rsidP="00576C3D">
      <w:r w:rsidRPr="00576C3D">
        <w:t>Kommisjonen har fått delegert myndighet fra Europaparlamentet og Rådet til å vedta underliggende rettsakter (gjennomføringsforordninger og delegerte forordninger) med hjemmel i CBAM-forordningen. Delegerte forordninger kan brukes til å utfylle eller foreta mindre endringer i EU-lovgivningen, mens gjennomføringsforordninger kun kan brukes for å sikre at EUs lovgivning anvendes enhetlig i alle medlemsstatene.</w:t>
      </w:r>
    </w:p>
    <w:p w14:paraId="306BFE5B" w14:textId="77777777" w:rsidR="005D314E" w:rsidRPr="00576C3D" w:rsidRDefault="005D314E" w:rsidP="00576C3D">
      <w:r w:rsidRPr="00576C3D">
        <w:t>Følgende artikler i CBAM-forordningen spesifiserer hva Kommisjonen kan vedta underliggende rettsakter om:</w:t>
      </w:r>
    </w:p>
    <w:p w14:paraId="3A09B8A2" w14:textId="77777777" w:rsidR="005D314E" w:rsidRPr="00576C3D" w:rsidRDefault="005D314E" w:rsidP="00576C3D">
      <w:pPr>
        <w:pStyle w:val="Liste"/>
        <w:rPr>
          <w:rStyle w:val="kursiv"/>
        </w:rPr>
      </w:pPr>
      <w:r w:rsidRPr="00576C3D">
        <w:rPr>
          <w:rStyle w:val="kursiv"/>
        </w:rPr>
        <w:t xml:space="preserve">Artikkel 2 nr. 2 </w:t>
      </w:r>
      <w:r w:rsidRPr="00576C3D">
        <w:t xml:space="preserve">gir Kommisjonen hjemmel til å vedta gjennomføringsforordninger som fastsetter detaljerte betingelser for </w:t>
      </w:r>
      <w:proofErr w:type="gramStart"/>
      <w:r w:rsidRPr="00576C3D">
        <w:t>anvendelsen</w:t>
      </w:r>
      <w:proofErr w:type="gramEnd"/>
      <w:r w:rsidRPr="00576C3D">
        <w:t xml:space="preserve"> av CBAM på varer som føres til en kunstig øy, fast eller flytende innretning, eller en annen innretning på kontinentalsokkelen eller i den eksklusive økonomiske sonen til en medlemsstat.</w:t>
      </w:r>
    </w:p>
    <w:p w14:paraId="21FCF4F2" w14:textId="77777777" w:rsidR="005D314E" w:rsidRPr="00576C3D" w:rsidRDefault="005D314E" w:rsidP="00576C3D">
      <w:pPr>
        <w:pStyle w:val="Liste"/>
        <w:rPr>
          <w:rStyle w:val="kursiv"/>
        </w:rPr>
      </w:pPr>
      <w:r w:rsidRPr="00576C3D">
        <w:rPr>
          <w:rStyle w:val="kursiv"/>
        </w:rPr>
        <w:t xml:space="preserve">Artikkel 5 nr. 8 </w:t>
      </w:r>
      <w:r w:rsidRPr="00576C3D">
        <w:t>gir Kommisjonen hjemmel til å vedta gjennomføringsforordninger som fastsetter betingelser og prosedyrer for tildeling og tilbakekalling av status som autorisert CBAM-</w:t>
      </w:r>
      <w:proofErr w:type="spellStart"/>
      <w:r w:rsidRPr="00576C3D">
        <w:t>deklarant</w:t>
      </w:r>
      <w:proofErr w:type="spellEnd"/>
      <w:r w:rsidRPr="00576C3D">
        <w:t>.</w:t>
      </w:r>
    </w:p>
    <w:p w14:paraId="004DB671" w14:textId="77777777" w:rsidR="005D314E" w:rsidRPr="00576C3D" w:rsidRDefault="005D314E" w:rsidP="00576C3D">
      <w:pPr>
        <w:pStyle w:val="Liste"/>
        <w:rPr>
          <w:rStyle w:val="kursiv"/>
        </w:rPr>
      </w:pPr>
      <w:r w:rsidRPr="00576C3D">
        <w:rPr>
          <w:rStyle w:val="kursiv"/>
        </w:rPr>
        <w:t xml:space="preserve">Artikkel 6 nr. 6 </w:t>
      </w:r>
      <w:r w:rsidRPr="00576C3D">
        <w:t>gir Kommisjonen hjemmel til å vedta gjennomføringsforordninger om formatet for CBAM-erklæringen, inkludert detaljerte opplysninger for hver installasjon og opprinnelsesland samt type varer som skal rapporteres.</w:t>
      </w:r>
    </w:p>
    <w:p w14:paraId="405CCE50" w14:textId="77777777" w:rsidR="005D314E" w:rsidRPr="00576C3D" w:rsidRDefault="005D314E" w:rsidP="00576C3D">
      <w:pPr>
        <w:pStyle w:val="Liste"/>
      </w:pPr>
      <w:r w:rsidRPr="00576C3D">
        <w:rPr>
          <w:rStyle w:val="kursiv"/>
        </w:rPr>
        <w:t xml:space="preserve">Artikkel 7 nr. 7 </w:t>
      </w:r>
      <w:r w:rsidRPr="00576C3D">
        <w:t>gir Kommisjonen hjemmel til å vedta gjennomføringsforordninger om detaljerte regler for beregning av direkte og indirekte utslipp fra produksjon av CBAM-varer.</w:t>
      </w:r>
    </w:p>
    <w:p w14:paraId="4363B4EC" w14:textId="77777777" w:rsidR="005D314E" w:rsidRPr="00576C3D" w:rsidRDefault="005D314E" w:rsidP="00576C3D">
      <w:pPr>
        <w:pStyle w:val="Liste"/>
      </w:pPr>
      <w:r w:rsidRPr="00576C3D">
        <w:rPr>
          <w:rStyle w:val="kursiv"/>
        </w:rPr>
        <w:t>Artikkel 8 nr. 3</w:t>
      </w:r>
      <w:r w:rsidRPr="00576C3D">
        <w:t xml:space="preserve"> gir Kommisjonen hjemmel til å vedta gjennomføringsforordninger om verifikasjonsprinsippene i vedlegg VI.</w:t>
      </w:r>
    </w:p>
    <w:p w14:paraId="63208C23" w14:textId="77777777" w:rsidR="005D314E" w:rsidRPr="00576C3D" w:rsidRDefault="005D314E" w:rsidP="00576C3D">
      <w:pPr>
        <w:pStyle w:val="Liste"/>
        <w:rPr>
          <w:rStyle w:val="kursiv"/>
        </w:rPr>
      </w:pPr>
      <w:r w:rsidRPr="00576C3D">
        <w:rPr>
          <w:rStyle w:val="kursiv"/>
        </w:rPr>
        <w:t xml:space="preserve">Artikkel 9 nr. 5 </w:t>
      </w:r>
      <w:r w:rsidRPr="00576C3D">
        <w:t>gir Kommisjonen hjemmel til å vedta gjennomføringsforordninger om fastsettelse av den årlige gjennomsnittlige karbonprisen i samsvar med nr. 1, og av de årlige standardprisene fastsatt i samsvar med nr. 4. i artikkelen.</w:t>
      </w:r>
    </w:p>
    <w:p w14:paraId="72AD02B6" w14:textId="77777777" w:rsidR="005D314E" w:rsidRPr="00576C3D" w:rsidRDefault="005D314E" w:rsidP="00576C3D">
      <w:pPr>
        <w:pStyle w:val="Liste"/>
        <w:rPr>
          <w:rStyle w:val="kursiv"/>
        </w:rPr>
      </w:pPr>
      <w:r w:rsidRPr="00576C3D">
        <w:rPr>
          <w:rStyle w:val="kursiv"/>
        </w:rPr>
        <w:t xml:space="preserve">Artikkel 14 nr. 6 </w:t>
      </w:r>
      <w:r w:rsidRPr="00576C3D">
        <w:t>gir Kommisjonen hjemmel til å vedta gjennomføringsforordninger som spesifiserer detaljerte regler for CBAM-registeret, særlig med hensyn til tilgang, tilkobling og interoperabilitet.</w:t>
      </w:r>
    </w:p>
    <w:p w14:paraId="724E04D0" w14:textId="77777777" w:rsidR="005D314E" w:rsidRPr="00576C3D" w:rsidRDefault="005D314E" w:rsidP="00576C3D">
      <w:pPr>
        <w:pStyle w:val="Liste"/>
        <w:rPr>
          <w:rStyle w:val="kursiv"/>
        </w:rPr>
      </w:pPr>
      <w:r w:rsidRPr="00576C3D">
        <w:rPr>
          <w:rStyle w:val="kursiv"/>
        </w:rPr>
        <w:t xml:space="preserve">Artikkel 17 nr. 10 </w:t>
      </w:r>
      <w:r w:rsidRPr="00576C3D">
        <w:t>gir Kommisjonen hjemmel til å vedta gjennomføringsforordninger som fastsetter betingelsene og prosedyrene for tildeling og tilbakekalling av status som autorisert CBAM-</w:t>
      </w:r>
      <w:proofErr w:type="spellStart"/>
      <w:r w:rsidRPr="00576C3D">
        <w:t>deklarant</w:t>
      </w:r>
      <w:proofErr w:type="spellEnd"/>
      <w:r w:rsidRPr="00576C3D">
        <w:t xml:space="preserve"> for importører av elektrisitet.</w:t>
      </w:r>
    </w:p>
    <w:p w14:paraId="361B93C7" w14:textId="77777777" w:rsidR="005D314E" w:rsidRPr="00576C3D" w:rsidRDefault="005D314E" w:rsidP="00576C3D">
      <w:pPr>
        <w:pStyle w:val="Liste"/>
        <w:rPr>
          <w:rStyle w:val="kursiv"/>
        </w:rPr>
      </w:pPr>
      <w:r w:rsidRPr="00576C3D">
        <w:rPr>
          <w:rStyle w:val="kursiv"/>
        </w:rPr>
        <w:t xml:space="preserve">Artikkel 21 nr. 3 </w:t>
      </w:r>
      <w:r w:rsidRPr="00576C3D">
        <w:t>gir Kommisjonen hjemmel til å vedta gjennomføringsforordninger om beregning av gjennomsnittsprisen for CBAM-sertifikater, og hvordan prisene offentliggjøres.</w:t>
      </w:r>
    </w:p>
    <w:p w14:paraId="5B0108A4" w14:textId="77777777" w:rsidR="005D314E" w:rsidRPr="00576C3D" w:rsidRDefault="005D314E" w:rsidP="00576C3D">
      <w:pPr>
        <w:pStyle w:val="Liste"/>
        <w:rPr>
          <w:rStyle w:val="kursiv"/>
        </w:rPr>
      </w:pPr>
      <w:r w:rsidRPr="00576C3D">
        <w:rPr>
          <w:rStyle w:val="kursiv"/>
        </w:rPr>
        <w:t xml:space="preserve">Artikkel 25 nr. 6 </w:t>
      </w:r>
      <w:r w:rsidRPr="00576C3D">
        <w:t>gir Kommisjonen hjemmel til å vedta gjennomføringsforordninger om kommunikasjonen med tollmyndighetene.</w:t>
      </w:r>
    </w:p>
    <w:p w14:paraId="51B56321" w14:textId="77777777" w:rsidR="005D314E" w:rsidRPr="00576C3D" w:rsidRDefault="005D314E" w:rsidP="00576C3D">
      <w:pPr>
        <w:pStyle w:val="Liste"/>
        <w:rPr>
          <w:rStyle w:val="kursiv"/>
        </w:rPr>
      </w:pPr>
      <w:r w:rsidRPr="00576C3D">
        <w:rPr>
          <w:rStyle w:val="kursiv"/>
        </w:rPr>
        <w:t xml:space="preserve">Artikkel 31 nr. 2 </w:t>
      </w:r>
      <w:r w:rsidRPr="00576C3D">
        <w:t xml:space="preserve">gir Kommisjonen hjemmel til å vedta gjennomføringsforordninger med detaljerte regler om nedjustering av oppgjørsforpliktelsen som følge av tildeling av vederlagsfrie kvoter i EUs </w:t>
      </w:r>
      <w:proofErr w:type="spellStart"/>
      <w:r w:rsidRPr="00576C3D">
        <w:t>klimakvotesytem</w:t>
      </w:r>
      <w:proofErr w:type="spellEnd"/>
      <w:r w:rsidRPr="00576C3D">
        <w:t>.</w:t>
      </w:r>
    </w:p>
    <w:p w14:paraId="36A8C3E1" w14:textId="77777777" w:rsidR="005D314E" w:rsidRPr="00576C3D" w:rsidRDefault="005D314E" w:rsidP="00576C3D">
      <w:pPr>
        <w:pStyle w:val="Liste"/>
        <w:rPr>
          <w:rStyle w:val="kursiv"/>
        </w:rPr>
      </w:pPr>
      <w:r w:rsidRPr="00576C3D">
        <w:rPr>
          <w:rStyle w:val="kursiv"/>
        </w:rPr>
        <w:t xml:space="preserve">Artikkel 2 nr. 10 </w:t>
      </w:r>
      <w:r w:rsidRPr="00576C3D">
        <w:t>gir Kommisjonen hjemmel til å vedta delegerte forordninger i samsvar med artikkel 28 for å supplere forordningen ved å fastsette krav og prosedyrer for tredjeland eller territorier som er fjernet fra listen i vedlegg III, inkludert tiltak som å ekskludere markedsintegrering og kreve eksplisitt kapasitetstildeling ved grensen.</w:t>
      </w:r>
    </w:p>
    <w:p w14:paraId="036F4EE2" w14:textId="77777777" w:rsidR="005D314E" w:rsidRPr="00576C3D" w:rsidRDefault="005D314E" w:rsidP="00576C3D">
      <w:pPr>
        <w:pStyle w:val="Liste"/>
        <w:rPr>
          <w:rStyle w:val="kursiv"/>
        </w:rPr>
      </w:pPr>
      <w:r w:rsidRPr="00576C3D">
        <w:rPr>
          <w:rStyle w:val="kursiv"/>
        </w:rPr>
        <w:t xml:space="preserve">Artikkel 2 nr. 11 </w:t>
      </w:r>
      <w:r w:rsidRPr="00576C3D">
        <w:t>gir Kommisjonen hjemmel til å vedta delegerte forordninger i samsvar med artikkel 28 for å endre listene over tredjeland eller territorier i vedlegg III punkt 1 eller 2.</w:t>
      </w:r>
    </w:p>
    <w:p w14:paraId="6031D3CB" w14:textId="77777777" w:rsidR="005D314E" w:rsidRPr="00576C3D" w:rsidRDefault="005D314E" w:rsidP="00576C3D">
      <w:pPr>
        <w:pStyle w:val="Liste"/>
        <w:rPr>
          <w:rStyle w:val="kursiv"/>
        </w:rPr>
      </w:pPr>
      <w:r w:rsidRPr="00576C3D">
        <w:rPr>
          <w:rStyle w:val="kursiv"/>
        </w:rPr>
        <w:t xml:space="preserve">Artikkel 2a nr. 3 </w:t>
      </w:r>
      <w:r w:rsidRPr="00576C3D">
        <w:t>gir Kommisjonen hjemmel til å vedta delegerte forordninger i samsvar med artikkel 28 for å endre den nedre importgrensen.</w:t>
      </w:r>
    </w:p>
    <w:p w14:paraId="72970C94" w14:textId="77777777" w:rsidR="005D314E" w:rsidRPr="00576C3D" w:rsidRDefault="005D314E" w:rsidP="00576C3D">
      <w:pPr>
        <w:pStyle w:val="Liste"/>
        <w:rPr>
          <w:rStyle w:val="kursiv"/>
        </w:rPr>
      </w:pPr>
      <w:r w:rsidRPr="00576C3D">
        <w:rPr>
          <w:rStyle w:val="kursiv"/>
        </w:rPr>
        <w:t xml:space="preserve">Artikkel 18 nr. 1 </w:t>
      </w:r>
      <w:r w:rsidRPr="00576C3D">
        <w:t xml:space="preserve">gir Kommisjonen hjemmel til å vedta delegerte forordninger i samsvar med artikkel 28 om å fastsette vilkårene for tildeling av akkreditering som nevnt i nr. 2 i denne artikkelen, for kontroll og tilsyn med akkrediterte </w:t>
      </w:r>
      <w:proofErr w:type="spellStart"/>
      <w:r w:rsidRPr="00576C3D">
        <w:t>verifikatører</w:t>
      </w:r>
      <w:proofErr w:type="spellEnd"/>
      <w:r w:rsidRPr="00576C3D">
        <w:t>, tilbakekalling av akkreditering, samt for gjensidig anerkjennelse av akkrediteringsorganer.</w:t>
      </w:r>
    </w:p>
    <w:p w14:paraId="27CA70F2" w14:textId="77777777" w:rsidR="005D314E" w:rsidRPr="00576C3D" w:rsidRDefault="005D314E" w:rsidP="00576C3D">
      <w:pPr>
        <w:pStyle w:val="Liste"/>
        <w:rPr>
          <w:rStyle w:val="kursiv"/>
        </w:rPr>
      </w:pPr>
      <w:r w:rsidRPr="00576C3D">
        <w:rPr>
          <w:rStyle w:val="kursiv"/>
        </w:rPr>
        <w:t xml:space="preserve">Artikkel 18 nr. 3 </w:t>
      </w:r>
      <w:r w:rsidRPr="00576C3D">
        <w:t xml:space="preserve">gir Kommisjonen hjemmel til å vedta delegerte forordninger i samsvar med artikkel 28 om akkreditering av </w:t>
      </w:r>
      <w:proofErr w:type="spellStart"/>
      <w:r w:rsidRPr="00576C3D">
        <w:t>verifikatører</w:t>
      </w:r>
      <w:proofErr w:type="spellEnd"/>
      <w:r w:rsidRPr="00576C3D">
        <w:t>, inkludert prosedyrer for kontroll, tilsyn, fornyelse og tilbakekalling av akkreditering, samt gjensidig anerkjennelse av akkrediteringsorganer.</w:t>
      </w:r>
    </w:p>
    <w:p w14:paraId="1C5BAC0A" w14:textId="77777777" w:rsidR="005D314E" w:rsidRPr="00576C3D" w:rsidRDefault="005D314E" w:rsidP="00576C3D">
      <w:pPr>
        <w:pStyle w:val="Liste"/>
        <w:rPr>
          <w:rStyle w:val="kursiv"/>
        </w:rPr>
      </w:pPr>
      <w:r w:rsidRPr="00576C3D">
        <w:rPr>
          <w:rStyle w:val="kursiv"/>
        </w:rPr>
        <w:t xml:space="preserve">Artikkel 20 nr. 5a </w:t>
      </w:r>
      <w:r w:rsidRPr="00576C3D">
        <w:t>gir Kommisjonen hjemmel til å vedta delegerte forordninger om at utgifter til salgsplattformen skal finansieres gjennom gebyrer fra autoriserte CBAM-</w:t>
      </w:r>
      <w:proofErr w:type="spellStart"/>
      <w:r w:rsidRPr="00576C3D">
        <w:t>deklaranter</w:t>
      </w:r>
      <w:proofErr w:type="spellEnd"/>
      <w:r w:rsidRPr="00576C3D">
        <w:t>.</w:t>
      </w:r>
    </w:p>
    <w:p w14:paraId="03E3B0FC" w14:textId="77777777" w:rsidR="005D314E" w:rsidRPr="00576C3D" w:rsidRDefault="005D314E" w:rsidP="00576C3D">
      <w:pPr>
        <w:pStyle w:val="Liste"/>
        <w:rPr>
          <w:rStyle w:val="kursiv"/>
        </w:rPr>
      </w:pPr>
      <w:r w:rsidRPr="00576C3D">
        <w:rPr>
          <w:rStyle w:val="kursiv"/>
        </w:rPr>
        <w:t xml:space="preserve">Artikkel 20 nr. 6 </w:t>
      </w:r>
      <w:r w:rsidRPr="00576C3D">
        <w:t>gir Kommisjonen hjemmel til å vedta delegerte forordninger om finansieringen og administrasjonen av salgsplattformen.</w:t>
      </w:r>
    </w:p>
    <w:p w14:paraId="5109739C" w14:textId="77777777" w:rsidR="005D314E" w:rsidRPr="00576C3D" w:rsidRDefault="005D314E" w:rsidP="00576C3D">
      <w:pPr>
        <w:pStyle w:val="Liste"/>
      </w:pPr>
      <w:r w:rsidRPr="00576C3D">
        <w:rPr>
          <w:rStyle w:val="kursiv"/>
        </w:rPr>
        <w:t xml:space="preserve">Artikkel 27 nr. 6 </w:t>
      </w:r>
      <w:r w:rsidRPr="00576C3D">
        <w:t>gir Kommisjonen hjemmel til å utvide listen over CBAM-varer dersom det oppdages et mønster av omgåelse ved at varer blir noe endret for å falle utenfor de omfattede CN-kodene.</w:t>
      </w:r>
    </w:p>
    <w:p w14:paraId="72A50D1F" w14:textId="77777777" w:rsidR="005D314E" w:rsidRPr="00576C3D" w:rsidRDefault="005D314E" w:rsidP="00576C3D">
      <w:pPr>
        <w:pStyle w:val="Overskrift3"/>
      </w:pPr>
      <w:r w:rsidRPr="00576C3D">
        <w:t>Underliggende rettsakter</w:t>
      </w:r>
    </w:p>
    <w:p w14:paraId="40F55C37" w14:textId="77777777" w:rsidR="005D314E" w:rsidRPr="00576C3D" w:rsidRDefault="005D314E" w:rsidP="00576C3D">
      <w:pPr>
        <w:pStyle w:val="Overskrift4"/>
      </w:pPr>
      <w:r w:rsidRPr="00576C3D">
        <w:t>Autoriseringsforordningen</w:t>
      </w:r>
    </w:p>
    <w:p w14:paraId="1FDF90DC" w14:textId="77777777" w:rsidR="005D314E" w:rsidRPr="00576C3D" w:rsidRDefault="005D314E" w:rsidP="00576C3D">
      <w:r w:rsidRPr="00576C3D">
        <w:t>Forordning (EU) 2025/486 om vilkår og prosedyrer for å bli autorisert CBAM-</w:t>
      </w:r>
      <w:proofErr w:type="spellStart"/>
      <w:r w:rsidRPr="00576C3D">
        <w:t>deklarant</w:t>
      </w:r>
      <w:proofErr w:type="spellEnd"/>
      <w:r w:rsidRPr="00576C3D">
        <w:t xml:space="preserve"> (</w:t>
      </w:r>
      <w:proofErr w:type="spellStart"/>
      <w:r w:rsidRPr="00576C3D">
        <w:t>autoriseringforordningen</w:t>
      </w:r>
      <w:proofErr w:type="spellEnd"/>
      <w:r w:rsidRPr="00576C3D">
        <w:t>) er gitt med hjemmel i CBAM-forordningen artikkel 5 nr. 8 og artikkel 17 nr. 10. Gjennomføringsforordningen gir utfyllende bestemmelser til CBAM-forordningens bestemmelser om autorisasjon av CBAM-</w:t>
      </w:r>
      <w:proofErr w:type="spellStart"/>
      <w:r w:rsidRPr="00576C3D">
        <w:t>deklaranter</w:t>
      </w:r>
      <w:proofErr w:type="spellEnd"/>
      <w:r w:rsidRPr="00576C3D">
        <w:t xml:space="preserve"> og bidrar til å klargjøre innholdet i rettigheter og forpliktelser knyttet til autorisasjon, både for CBAM-</w:t>
      </w:r>
      <w:proofErr w:type="spellStart"/>
      <w:r w:rsidRPr="00576C3D">
        <w:t>deklaranter</w:t>
      </w:r>
      <w:proofErr w:type="spellEnd"/>
      <w:r w:rsidRPr="00576C3D">
        <w:t xml:space="preserve"> og ansvarlig myndighet. Den 10. desember 2025 ble en endringsforordning til autoriseringsforordningen publisert, (EU) 2025/2549. </w:t>
      </w:r>
      <w:proofErr w:type="spellStart"/>
      <w:r w:rsidRPr="00576C3D">
        <w:t>Hovedendringene</w:t>
      </w:r>
      <w:proofErr w:type="spellEnd"/>
      <w:r w:rsidRPr="00576C3D">
        <w:t xml:space="preserve"> er at en søker som har registrert seg i CBAM-registeret før 31. mars 2026 kan fortsette å importere CBAM-varer inntil en beslutning om søknaden har blitt tatt, og at konsultasjonsprosedyren for å vurdere om en autorisasjon skal gis eller trekkes blir valgfri. Endringene er i all hovedsak en oppfølgning av endringsforordningen om forenklinger til CBAM-forordningen.</w:t>
      </w:r>
    </w:p>
    <w:p w14:paraId="5EC50A75" w14:textId="77777777" w:rsidR="005D314E" w:rsidRPr="00576C3D" w:rsidRDefault="005D314E" w:rsidP="00576C3D">
      <w:pPr>
        <w:pStyle w:val="Overskrift4"/>
      </w:pPr>
      <w:r w:rsidRPr="00576C3D">
        <w:t>Forordningen om CBAM-registeret</w:t>
      </w:r>
    </w:p>
    <w:p w14:paraId="482F0FBB" w14:textId="77777777" w:rsidR="005D314E" w:rsidRPr="00576C3D" w:rsidRDefault="005D314E" w:rsidP="00576C3D">
      <w:r w:rsidRPr="00576C3D">
        <w:t>Forordning (EU) 2024/3210 om CBAM-registeret er gitt med hjemmel i CBAM- forordningen artikkel 14 nr. 6. Gjennomføringsforordningen gir utfyllende bestemmelser om funksjonen og driften av CBAM-registeret, og inkluderer etableringen av elektroniske portaler for CBAM-</w:t>
      </w:r>
      <w:proofErr w:type="spellStart"/>
      <w:r w:rsidRPr="00576C3D">
        <w:t>deklaranter</w:t>
      </w:r>
      <w:proofErr w:type="spellEnd"/>
      <w:r w:rsidRPr="00576C3D">
        <w:t xml:space="preserve">, ansvarlige myndigheter, Kommisjonen og operatører i tredjeland. Videre inneholder gjennomføringsforordningen regler om ivaretakelsen av sikkerheten i registeret og behandling av persondata. Den 10. desember 2025 ble en endringsrettsakt til CBAM-registerforordningen publisert, forordning (EU) 2025/2550. </w:t>
      </w:r>
      <w:proofErr w:type="spellStart"/>
      <w:r w:rsidRPr="00576C3D">
        <w:t>Hovedendringene</w:t>
      </w:r>
      <w:proofErr w:type="spellEnd"/>
      <w:r w:rsidRPr="00576C3D">
        <w:t xml:space="preserve"> innebærer at CBAM-registeret åpner opp for ytterligere brukere, inkludert </w:t>
      </w:r>
      <w:proofErr w:type="spellStart"/>
      <w:r w:rsidRPr="00576C3D">
        <w:t>verifikatører</w:t>
      </w:r>
      <w:proofErr w:type="spellEnd"/>
      <w:r w:rsidRPr="00576C3D">
        <w:t xml:space="preserve"> og uavhengige personer som sertifiserer at karbonpris har blitt betalt i et tredjeland. I tillegg skal tollmyndighetene få tilgang til CBAM-registeret, og de skal også informeres dersom ansvarlig myndighet avgjør at en importør har oversteget den nedre importgrensen. Endringene er i all hovedsak en oppfølgning av endringsforordning om forenklinger til CBAM-forordningen.</w:t>
      </w:r>
    </w:p>
    <w:p w14:paraId="507B61FB" w14:textId="77777777" w:rsidR="005D314E" w:rsidRPr="00576C3D" w:rsidRDefault="005D314E" w:rsidP="00576C3D">
      <w:pPr>
        <w:pStyle w:val="Overskrift4"/>
      </w:pPr>
      <w:r w:rsidRPr="00576C3D">
        <w:t>Forordning om CBAM-varer brakt til kontinentalsokkelen eller eksklusiv økonomisk sone</w:t>
      </w:r>
    </w:p>
    <w:p w14:paraId="286ACD5A" w14:textId="77777777" w:rsidR="005D314E" w:rsidRPr="00576C3D" w:rsidRDefault="005D314E" w:rsidP="00576C3D">
      <w:r w:rsidRPr="00576C3D">
        <w:t>Forordning (EU) 2025/2210 regulerer hvordan CBAM skal anvendes for CBAM-varer og bearbeidende produkter som bringes til kontinentalsokkelen eller eksklusiv økonomisk sone. Den definerer hvem som anses som importør, fastsetter krav til deklarasjon og dokumentasjon ved mottak av varer og rapportering til tollmyndighetene, regler for tollmyndighetens kontroll og krav til dokumentasjon i CBAM-erklæringen. Gjennomføringsforordningen er gitt med hjemmel i CBAM-forordningen artikkel 2 nr. 2.</w:t>
      </w:r>
    </w:p>
    <w:p w14:paraId="2454B024" w14:textId="77777777" w:rsidR="005D314E" w:rsidRPr="00576C3D" w:rsidRDefault="005D314E" w:rsidP="00576C3D">
      <w:pPr>
        <w:pStyle w:val="Overskrift4"/>
      </w:pPr>
      <w:r w:rsidRPr="00576C3D">
        <w:t>Forordning om informasjon kommunisert av tollmyndigheter</w:t>
      </w:r>
    </w:p>
    <w:p w14:paraId="5FF622A1" w14:textId="77777777" w:rsidR="005D314E" w:rsidRPr="00576C3D" w:rsidRDefault="005D314E" w:rsidP="00576C3D">
      <w:r w:rsidRPr="00576C3D">
        <w:t>Forordning (EU) 2025/2619 fastsetter hvordan tollmyndigheter skal rapportere CBAM-relevant informasjon, regulerer hyppigheten og formen for kommunikasjon mellom tollmyndighetene og Kommisjonen. Gjennomføringsforordningen gir også regler for når Kommisjonen og ansvarlig myndighet kan be tollmyndighetene om ytterligere dokumentasjon og validering av innsendte tolldata. Gjennomføringsforordningen er gitt med hjemmel i artikkel 25 nr. 6 i CBAM-forordningen.</w:t>
      </w:r>
    </w:p>
    <w:p w14:paraId="009B5442" w14:textId="77777777" w:rsidR="005D314E" w:rsidRPr="00576C3D" w:rsidRDefault="005D314E" w:rsidP="00576C3D">
      <w:pPr>
        <w:pStyle w:val="Overskrift4"/>
      </w:pPr>
      <w:r w:rsidRPr="00576C3D">
        <w:t>Forordning om metode for utslippsberegning</w:t>
      </w:r>
    </w:p>
    <w:p w14:paraId="61FC0C51" w14:textId="77777777" w:rsidR="005D314E" w:rsidRPr="00576C3D" w:rsidRDefault="005D314E" w:rsidP="00576C3D">
      <w:r w:rsidRPr="00576C3D">
        <w:t>Forordning (EU) 2025/2547 fastsetter metoden for beregning av utslipp fra produksjon av CBAM-varer, metode for overvåking av utslipp på anlegg og regler for bruk av faktiske utslippsdata og standardfaktorer i rapporteringen. Gjennomføringsforordningen er gitt med hjemmel i artikkel 7 nr. 7 i CBAM-forordningen.</w:t>
      </w:r>
    </w:p>
    <w:p w14:paraId="1D715CF1" w14:textId="77777777" w:rsidR="005D314E" w:rsidRPr="00576C3D" w:rsidRDefault="005D314E" w:rsidP="00576C3D">
      <w:pPr>
        <w:pStyle w:val="Overskrift4"/>
      </w:pPr>
      <w:r w:rsidRPr="00576C3D">
        <w:t>Forordning om etablering av standardfaktorer</w:t>
      </w:r>
    </w:p>
    <w:p w14:paraId="21073C81" w14:textId="77777777" w:rsidR="005D314E" w:rsidRPr="00576C3D" w:rsidRDefault="005D314E" w:rsidP="00576C3D">
      <w:r w:rsidRPr="00576C3D">
        <w:t>Forordning (EU) 2025/2621 fastsetter hvilke standardfaktorer og påslag som kan brukes for å beregne utslippene til CBAM-varene. Standardfaktorene og påslagene presenteres for hver varetype. Gjennomføringsforordningen er gitt med hjemmel i CBAM-forordningen artikkel 7 nr. 7.</w:t>
      </w:r>
    </w:p>
    <w:p w14:paraId="2DA8E81F" w14:textId="77777777" w:rsidR="005D314E" w:rsidRPr="00576C3D" w:rsidRDefault="005D314E" w:rsidP="00576C3D">
      <w:pPr>
        <w:pStyle w:val="Overskrift4"/>
      </w:pPr>
      <w:r w:rsidRPr="00576C3D">
        <w:t xml:space="preserve">Forordningen om </w:t>
      </w:r>
      <w:proofErr w:type="gramStart"/>
      <w:r w:rsidRPr="00576C3D">
        <w:t>anvendelse</w:t>
      </w:r>
      <w:proofErr w:type="gramEnd"/>
      <w:r w:rsidRPr="00576C3D">
        <w:t xml:space="preserve"> av prinsippene for verifisering av deklarerte utslipp</w:t>
      </w:r>
    </w:p>
    <w:p w14:paraId="43DDBD23" w14:textId="77777777" w:rsidR="005D314E" w:rsidRPr="00576C3D" w:rsidRDefault="005D314E" w:rsidP="00576C3D">
      <w:r w:rsidRPr="00576C3D">
        <w:t xml:space="preserve">Forordning (EU) 2025/2546 fastsetter detaljerte regler om hvordan </w:t>
      </w:r>
      <w:proofErr w:type="spellStart"/>
      <w:r w:rsidRPr="00576C3D">
        <w:t>verifikatører</w:t>
      </w:r>
      <w:proofErr w:type="spellEnd"/>
      <w:r w:rsidRPr="00576C3D">
        <w:t xml:space="preserve"> skal gjennomføre verifikasjon av utslippsdata basert på faktiske verdier. Den angir krav til inspeksjoner, vesentlighetsterskler og bruk av standardisert </w:t>
      </w:r>
      <w:proofErr w:type="spellStart"/>
      <w:r w:rsidRPr="00576C3D">
        <w:t>rapporteringsmal</w:t>
      </w:r>
      <w:proofErr w:type="spellEnd"/>
      <w:r w:rsidRPr="00576C3D">
        <w:t>. Gjennomføringsforordningen er gitt med hjemmel i artikkel 8 nr. 3 i CBAM-forordningen.</w:t>
      </w:r>
    </w:p>
    <w:p w14:paraId="2CADB352" w14:textId="77777777" w:rsidR="005D314E" w:rsidRPr="00576C3D" w:rsidRDefault="005D314E" w:rsidP="00576C3D">
      <w:pPr>
        <w:pStyle w:val="Overskrift4"/>
      </w:pPr>
      <w:r w:rsidRPr="00576C3D">
        <w:t xml:space="preserve">Forordning om akkreditering av </w:t>
      </w:r>
      <w:proofErr w:type="spellStart"/>
      <w:r w:rsidRPr="00576C3D">
        <w:t>verifikatører</w:t>
      </w:r>
      <w:proofErr w:type="spellEnd"/>
    </w:p>
    <w:p w14:paraId="1EC50ED5" w14:textId="77777777" w:rsidR="005D314E" w:rsidRPr="00576C3D" w:rsidRDefault="005D314E" w:rsidP="00576C3D">
      <w:r w:rsidRPr="00576C3D">
        <w:t xml:space="preserve">Forordning (EU) 2025/2551 fastsetter regler for akkreditering av </w:t>
      </w:r>
      <w:proofErr w:type="spellStart"/>
      <w:r w:rsidRPr="00576C3D">
        <w:t>verifikatører</w:t>
      </w:r>
      <w:proofErr w:type="spellEnd"/>
      <w:r w:rsidRPr="00576C3D">
        <w:t xml:space="preserve">, herunder søknadsprosess, evaluering av søknader, beslutningsgrunnlag og tilbaketrekking av akkreditering. Det fremlegges også kompetansekrav for personer som utfører akkreditering for akkrediteringsorganet, regler for kontroll av </w:t>
      </w:r>
      <w:proofErr w:type="spellStart"/>
      <w:r w:rsidRPr="00576C3D">
        <w:t>verifikatører</w:t>
      </w:r>
      <w:proofErr w:type="spellEnd"/>
      <w:r w:rsidRPr="00576C3D">
        <w:t xml:space="preserve">, regler om informasjonsutveksling mellom ansvarlige myndigheter og akkrediteringsorganet og kompetansekrav for </w:t>
      </w:r>
      <w:proofErr w:type="spellStart"/>
      <w:r w:rsidRPr="00576C3D">
        <w:t>verifikatører</w:t>
      </w:r>
      <w:proofErr w:type="spellEnd"/>
      <w:r w:rsidRPr="00576C3D">
        <w:t>. Den delegerte kommisjonsforordningen er gitt med hjemmel i CBAM-forordningen artikkel 18 nr. 3.</w:t>
      </w:r>
    </w:p>
    <w:p w14:paraId="08D6C425" w14:textId="77777777" w:rsidR="005D314E" w:rsidRPr="00576C3D" w:rsidRDefault="005D314E" w:rsidP="00576C3D">
      <w:pPr>
        <w:pStyle w:val="Overskrift4"/>
      </w:pPr>
      <w:r w:rsidRPr="00576C3D">
        <w:t>Forordning om beregning og publisering av prisen på CBAM-sertifikater</w:t>
      </w:r>
    </w:p>
    <w:p w14:paraId="322F6CD9" w14:textId="317EBB65" w:rsidR="005D314E" w:rsidRPr="00576C3D" w:rsidRDefault="005D314E" w:rsidP="00576C3D">
      <w:r w:rsidRPr="00576C3D">
        <w:t>Forordning (EU) 2025/2548 fastsetter hvordan prisen på CBAM</w:t>
      </w:r>
      <w:r w:rsidR="00576C3D">
        <w:t>-</w:t>
      </w:r>
      <w:r w:rsidRPr="00576C3D">
        <w:t>sertifikater beregnes og offentliggjøres. Prisen skal fastsettes basert på gjennomsnittspriser på klimakvoter fra auksjoner i EUs klimakvotesystem. Forordningen regulerer den nærmere beregningsmetoden, tidsintervaller for oppdatering og publisering av prisinformasjon. Gjennomføringsforordningen er gitt med hjemmel i artikkel 21 nr. 3 i CBAM-forordningen.</w:t>
      </w:r>
    </w:p>
    <w:p w14:paraId="606F9D84" w14:textId="77777777" w:rsidR="005D314E" w:rsidRPr="00576C3D" w:rsidRDefault="005D314E" w:rsidP="00576C3D">
      <w:pPr>
        <w:pStyle w:val="Overskrift4"/>
      </w:pPr>
      <w:r w:rsidRPr="00576C3D">
        <w:t>Forordning om beregning av justering av antall CBAM-sertifikater som skal innleveres som følge av vederlagsfri tildeling av klimakvoter i klimakvotesystemet</w:t>
      </w:r>
    </w:p>
    <w:p w14:paraId="34FAC53E" w14:textId="77777777" w:rsidR="005D314E" w:rsidRPr="00576C3D" w:rsidRDefault="005D314E" w:rsidP="00576C3D">
      <w:r w:rsidRPr="00576C3D">
        <w:t>Forordning (EU) 2025/2620 fastsetter detaljerte regler for hvordan plikten til å levere inn CBAM-sertifikater skal justeres som følge av tildelingen av vederlagsfrie kvoter under EUs klimakvotesystem. Reglene for justeringen i CBAM-forpliktelsen er utviklet i nær sammenheng med reglene for tildeling i klimakvotesystemet. Justeringen kan beregnes ved bruk av både faktiske verdier og standardfaktorer. Reglene sikrer at beregningen reflekterer produksjonsprosess og varetype. Gjennomføringsforordningen er gitt med hjemmel i artikkel 31 nr. 2 i CBAM-forordningen.</w:t>
      </w:r>
    </w:p>
    <w:p w14:paraId="136DB1C5" w14:textId="77777777" w:rsidR="005D314E" w:rsidRPr="00576C3D" w:rsidRDefault="005D314E" w:rsidP="00576C3D">
      <w:pPr>
        <w:pStyle w:val="Overskrift3"/>
      </w:pPr>
      <w:r w:rsidRPr="00576C3D">
        <w:t>Forslaget i høringsnotatet</w:t>
      </w:r>
    </w:p>
    <w:p w14:paraId="724988A9" w14:textId="77777777" w:rsidR="005D314E" w:rsidRPr="00576C3D" w:rsidRDefault="005D314E" w:rsidP="00576C3D">
      <w:r w:rsidRPr="00576C3D">
        <w:t>I høringsnotatet vurderte departementet at det var behov for en forskriftshjemmel til å gjennomføre underliggende rettsakter som vedtas av Kommisjonen med hjemmel i CBAM-forordningen, og som innlemmes i EØS-avtalen. På tidspunktet for høringsnotatet var det ikke endelig avklart hvilke underliggende rettsakter som vil bli vedtatt til utfylling og gjennomføringen av CBAM-forordningen.</w:t>
      </w:r>
    </w:p>
    <w:p w14:paraId="0A0CC125" w14:textId="77777777" w:rsidR="005D314E" w:rsidRPr="00576C3D" w:rsidRDefault="005D314E" w:rsidP="00576C3D">
      <w:pPr>
        <w:pStyle w:val="Overskrift3"/>
      </w:pPr>
      <w:r w:rsidRPr="00576C3D">
        <w:t>Høringsinnspill</w:t>
      </w:r>
    </w:p>
    <w:p w14:paraId="265A64C3" w14:textId="77777777" w:rsidR="005D314E" w:rsidRPr="00576C3D" w:rsidRDefault="005D314E" w:rsidP="00576C3D">
      <w:r w:rsidRPr="00576C3D">
        <w:t>Det er ikke kommet inn noen høringsinnspill som knytter seg til utformingen av § 2 annet ledd og hvorvidt underliggende rettsakter bør gjennomføres i forskrift.</w:t>
      </w:r>
    </w:p>
    <w:p w14:paraId="74D848C8" w14:textId="77777777" w:rsidR="005D314E" w:rsidRPr="00576C3D" w:rsidRDefault="005D314E" w:rsidP="00576C3D">
      <w:pPr>
        <w:pStyle w:val="Overskrift3"/>
      </w:pPr>
      <w:r w:rsidRPr="00576C3D">
        <w:t>Departementets vurdering</w:t>
      </w:r>
    </w:p>
    <w:p w14:paraId="286D067C" w14:textId="77777777" w:rsidR="005D314E" w:rsidRPr="00576C3D" w:rsidRDefault="005D314E" w:rsidP="00576C3D">
      <w:r w:rsidRPr="00576C3D">
        <w:t>Departementet opprettholder vurderingen fra høringsnotatet om at det er behov for en hjemmel til å gjennomføre underliggende rettsakter i forskrift. Som redegjort for i punkt 5.5.3, har en rekke underliggende rettsakter blitt vedtatt i EU siden høringen.</w:t>
      </w:r>
    </w:p>
    <w:p w14:paraId="799E9730" w14:textId="77777777" w:rsidR="005D314E" w:rsidRPr="00576C3D" w:rsidRDefault="005D314E" w:rsidP="00576C3D">
      <w:r w:rsidRPr="00576C3D">
        <w:t xml:space="preserve">I tråd med forslaget i høringen forslår departementet i § 2 andre ledd en forskriftshjemmel som gir Kongen kompetanse til å gjennomføre underliggende rettsakter som er vedtatt av Kommisjonen i </w:t>
      </w:r>
      <w:proofErr w:type="gramStart"/>
      <w:r w:rsidRPr="00576C3D">
        <w:t>medhold av</w:t>
      </w:r>
      <w:proofErr w:type="gramEnd"/>
      <w:r w:rsidRPr="00576C3D">
        <w:t xml:space="preserve"> CBAM-forordningen, og som innlemmes i EØS-avtalen.</w:t>
      </w:r>
    </w:p>
    <w:p w14:paraId="541B0BF7" w14:textId="77777777" w:rsidR="005D314E" w:rsidRPr="00576C3D" w:rsidRDefault="005D314E" w:rsidP="00576C3D">
      <w:r w:rsidRPr="00576C3D">
        <w:t>De underliggende rettsaktene er i utgangspunktet ment å ha et teknisk preg. De kan likevel inneholde spørsmål og bestemmelser som etter sin art bør vurderes av Stortinget. Kompetansen etter den foreslåtte forskriftshjemmelen er begrenset til gjennomføringen av rettsakter som innlemmes i EØS-avtalen. Dersom en underliggende rettsakt har et innhold som innebærer at samtykke fra Stortinget er nødvendig etter Grunnloven § 26, må dette innhentes før rettsakten kan innlemmes i EØS-avtalen og gjennomføres i norsk rett. Hver rettsakt vil også vurderes særskilt og konkret for å ta stilling til om den skal innlemmes i EØS-avtalen. I tillegg vil departementet i dialog med EU vurdere behovet for EØS-tilpasninger av de underliggende rettsaktene i prosessen med innlemmelse i EØS-avtalen.</w:t>
      </w:r>
    </w:p>
    <w:p w14:paraId="2CA6E291" w14:textId="77777777" w:rsidR="005D314E" w:rsidRPr="00576C3D" w:rsidRDefault="005D314E" w:rsidP="00576C3D">
      <w:pPr>
        <w:pStyle w:val="Overskrift2"/>
      </w:pPr>
      <w:r w:rsidRPr="00576C3D">
        <w:t>Forskriftshjemmel i § 2 tredje ledd</w:t>
      </w:r>
    </w:p>
    <w:p w14:paraId="194E945E" w14:textId="77777777" w:rsidR="005D314E" w:rsidRPr="00576C3D" w:rsidRDefault="005D314E" w:rsidP="00576C3D">
      <w:pPr>
        <w:pStyle w:val="Overskrift3"/>
      </w:pPr>
      <w:r w:rsidRPr="00576C3D">
        <w:t>Forslaget i høringsnotatet</w:t>
      </w:r>
    </w:p>
    <w:p w14:paraId="769E9CC2" w14:textId="77777777" w:rsidR="005D314E" w:rsidRPr="00576C3D" w:rsidRDefault="005D314E" w:rsidP="00576C3D">
      <w:r w:rsidRPr="00576C3D">
        <w:t xml:space="preserve">I høringsnotatet foreslo departementet en forskriftshjemmel i § 2 tredje ledd (alternativ 1) om at Kongen kunne gi forskrift «som er nødvendig for å supplere CBAM-forordningen og rettsakter gjennomført i </w:t>
      </w:r>
      <w:proofErr w:type="gramStart"/>
      <w:r w:rsidRPr="00576C3D">
        <w:t>medhold av</w:t>
      </w:r>
      <w:proofErr w:type="gramEnd"/>
      <w:r w:rsidRPr="00576C3D">
        <w:t xml:space="preserve"> CBAM-forordningen, herunder blant annet regler om ikke-</w:t>
      </w:r>
      <w:proofErr w:type="spellStart"/>
      <w:r w:rsidRPr="00576C3D">
        <w:t>preferensielle</w:t>
      </w:r>
      <w:proofErr w:type="spellEnd"/>
      <w:r w:rsidRPr="00576C3D">
        <w:t xml:space="preserve"> opprinnelsesregler for CBAM-varer og representant som er autorisert CBAM-</w:t>
      </w:r>
      <w:proofErr w:type="spellStart"/>
      <w:r w:rsidRPr="00576C3D">
        <w:t>deklarant</w:t>
      </w:r>
      <w:proofErr w:type="spellEnd"/>
      <w:r w:rsidRPr="00576C3D">
        <w:t>».</w:t>
      </w:r>
    </w:p>
    <w:p w14:paraId="3DF0AAAC" w14:textId="77777777" w:rsidR="005D314E" w:rsidRPr="00576C3D" w:rsidRDefault="005D314E" w:rsidP="00576C3D">
      <w:r w:rsidRPr="00576C3D">
        <w:t>Bestemmelsen ble begrunnet i behovet for å sikre at CBAM-forordningen kan forvaltes i Norge slik EØS-avtalen forutsetter og at forordningen kan virke effektivt i Norge. Departementet viste til at supplerende nasjonale bestemmelser kan bli nødvendige der CBAM-forordningen krever nasjonale reguleringer, eller der departementet vurderer at slike bestemmelser er viktige for at forordningen skal fungere i Norge. Når regelverket gir valgfrihet til ansvarlig myndighet, for eksempel om dokumentasjonskrav, skulle dette kunne forskriftsfestes med hjemmel i CBAM-loven.</w:t>
      </w:r>
    </w:p>
    <w:p w14:paraId="54D06D69" w14:textId="77777777" w:rsidR="005D314E" w:rsidRPr="00576C3D" w:rsidRDefault="005D314E" w:rsidP="00576C3D">
      <w:r w:rsidRPr="00576C3D">
        <w:t>Departementet viste til at CBAM-forordningen artikkel 11 nr. 1 pålegger medlemsstatene å sikre at ansvarlig myndighet har nødvendige fullmakter til å utføre sine oppgaver. Videre ble det vist til at det må utarbeides nasjonale regler fordi CBAM-forordningen viser til EUs UCC-regelverk, som ikke er en del av EØS-avtalen. På tidspunktet for høringsnotatet lå det an til at dette kunne bli aktuelt for ikke-</w:t>
      </w:r>
      <w:proofErr w:type="spellStart"/>
      <w:r w:rsidRPr="00576C3D">
        <w:t>preferensielle</w:t>
      </w:r>
      <w:proofErr w:type="spellEnd"/>
      <w:r w:rsidRPr="00576C3D">
        <w:t xml:space="preserve"> opprinnelsesregler og regler om representant som er autorisert CBAM-</w:t>
      </w:r>
      <w:proofErr w:type="spellStart"/>
      <w:r w:rsidRPr="00576C3D">
        <w:t>deklarant</w:t>
      </w:r>
      <w:proofErr w:type="spellEnd"/>
      <w:r w:rsidRPr="00576C3D">
        <w:t>. Dette ble derfor nevnt eksplisitt i bestemmelsens ordlyd.</w:t>
      </w:r>
    </w:p>
    <w:p w14:paraId="5B0248AF" w14:textId="77777777" w:rsidR="005D314E" w:rsidRPr="00576C3D" w:rsidRDefault="005D314E" w:rsidP="00576C3D">
      <w:r w:rsidRPr="00576C3D">
        <w:t>På tidspunktet for høringsnotatet pågikk fortsatt forhandlingene med Kommisjonen om utkast til EØS-komitébeslutning og departementet viste derfor til at det ville være behov for å vurdere ordlyden frem til lovforslaget ville legges frem for Stortinget.</w:t>
      </w:r>
    </w:p>
    <w:p w14:paraId="01AB3EDD" w14:textId="77777777" w:rsidR="005D314E" w:rsidRPr="00576C3D" w:rsidRDefault="005D314E" w:rsidP="00576C3D">
      <w:pPr>
        <w:pStyle w:val="Overskrift3"/>
      </w:pPr>
      <w:r w:rsidRPr="00576C3D">
        <w:t>Høringsinnspill</w:t>
      </w:r>
    </w:p>
    <w:p w14:paraId="21975D3C" w14:textId="77777777" w:rsidR="005D314E" w:rsidRPr="00576C3D" w:rsidRDefault="005D314E" w:rsidP="00576C3D">
      <w:r w:rsidRPr="00576C3D">
        <w:t>Det er ikke kommet inn noen høringsinnspill knyttet til utformingen av ordlyden i § 2 tredje ledd. Flere av høringsinstansene mener imidlertid det er behov for å vedta nasjonale tollrelaterte regler som tilsvarer tollreglene i EU som det vises til i CBAM-forordningen.</w:t>
      </w:r>
    </w:p>
    <w:p w14:paraId="46E07C13" w14:textId="77777777" w:rsidR="005D314E" w:rsidRPr="00576C3D" w:rsidRDefault="005D314E" w:rsidP="00576C3D">
      <w:pPr>
        <w:pStyle w:val="Overskrift3"/>
      </w:pPr>
      <w:r w:rsidRPr="00576C3D">
        <w:t>Departementets vurdering</w:t>
      </w:r>
    </w:p>
    <w:p w14:paraId="2D04B501" w14:textId="77777777" w:rsidR="005D314E" w:rsidRPr="00576C3D" w:rsidRDefault="005D314E" w:rsidP="00576C3D">
      <w:r w:rsidRPr="00576C3D">
        <w:t>Departementet fastholder behovet for en forskriftshjemmel i § 2 tredje ledd, men vurderer at ordlyden bør justeres sammenlignet med forslaget i høringen.</w:t>
      </w:r>
    </w:p>
    <w:p w14:paraId="28A0A182" w14:textId="77777777" w:rsidR="005D314E" w:rsidRPr="00576C3D" w:rsidRDefault="005D314E" w:rsidP="00576C3D">
      <w:r w:rsidRPr="00576C3D">
        <w:t xml:space="preserve">Det foreslås å ta ut henvisningene til de spesifikke reglene fra UCC som må lages i norsk rett. Departementet foreslår i stedet en mer generell hjemmel som gir Kongen myndighet til å fastsette bestemmelser det er «nødvendig» å vedta for å supplere CBAM-forordningen og underliggende rettsakter som vedtas i </w:t>
      </w:r>
      <w:proofErr w:type="gramStart"/>
      <w:r w:rsidRPr="00576C3D">
        <w:t>medhold av</w:t>
      </w:r>
      <w:proofErr w:type="gramEnd"/>
      <w:r w:rsidRPr="00576C3D">
        <w:t xml:space="preserve"> CBAM-forordningen.</w:t>
      </w:r>
    </w:p>
    <w:p w14:paraId="3560D045" w14:textId="77777777" w:rsidR="005D314E" w:rsidRPr="00576C3D" w:rsidRDefault="005D314E" w:rsidP="00576C3D">
      <w:r w:rsidRPr="00576C3D">
        <w:t xml:space="preserve">Et sentralt spørsmål er når det vil være «nødvendig» å fastsette supplerende regler i forskrift. Slike regler skal bidra til å ivareta forordningens mål, og ikke motvirke dens gjennomføring «som sådan», jf. EØS-avtalen artikkel 7 bokstav a. Departementet presiserer at terskelen skal forstås slik at det kun er adgang til å vedta supplerende bestemmelser i forskrift når det er nødvendig for å sikre at CBAM-forordningen og underliggende rettsakter skal fungere etter sin hensikt i Norge. En absolutt skranke for hjemmelen er at det bare kan gis regler med hjemmel i denne bestemmelsen som ikke strider mot CBAM-forordningen og underliggende rettsakter, slik de er tatt inn i vedlegg til EØS-avtalen. Behovet for supplerende bestemmelser kan oppstå i to </w:t>
      </w:r>
      <w:proofErr w:type="spellStart"/>
      <w:r w:rsidRPr="00576C3D">
        <w:t>hovedsituasjoner</w:t>
      </w:r>
      <w:proofErr w:type="spellEnd"/>
      <w:r w:rsidRPr="00576C3D">
        <w:t>. Når forordningen eller underliggende rettsakter gjennomført i forskrift forutsetter eller åpner for nasjonale regler, må slike supplerende bestemmelser vedtas i norsk rett. Eksempler på slik supplerende regulering er forslaget til CBAM-loven §§ 3 til 7 som utfyller CBAM-forordningen artikkel 11 nr. 1, og gir hjemler til ansvarlig myndighet for å sikre tilstrekkelig overholdelse av regelverket. Dersom underliggende rettsakter åpner for eller forutsetter andre nasjonale regler, vil denne forskriftshjemmelen gi adgang til å vedta slike regler i forskrift, i de tilfellene de naturlig hører hjemme på dette nivået, og ikke i loven.</w:t>
      </w:r>
    </w:p>
    <w:p w14:paraId="5E22AAF3" w14:textId="77777777" w:rsidR="005D314E" w:rsidRPr="00576C3D" w:rsidRDefault="005D314E" w:rsidP="00576C3D">
      <w:r w:rsidRPr="00576C3D">
        <w:t xml:space="preserve">I tillegg vil det være behov for å lage supplerende regler i forskrift når EØS-tilpasninger i EØS-komitébeslutningen som innlemmer CBAM-forordningen, endringsforordninger eller underliggende rettsakter, viser til nasjonalt regelverk som enten ikke er fullt ut i samsvar med EU-regelverket som forordningene viser til eller som ikke finnes, men som det er forutsatt skal </w:t>
      </w:r>
      <w:proofErr w:type="gramStart"/>
      <w:r w:rsidRPr="00576C3D">
        <w:t>fremgå</w:t>
      </w:r>
      <w:proofErr w:type="gramEnd"/>
      <w:r w:rsidRPr="00576C3D">
        <w:t xml:space="preserve"> av nasjonal rett. De aktuelle tilpasningene til CBAM-forordningen vil nødvendiggjøre nytt norsk regelverk av teknisk karakter, som naturlig hører hjemme i forskrift. Det vil for eksempel være nødvendig å lage regler om adgang til å bruke tollrepresentant som CBAM-</w:t>
      </w:r>
      <w:proofErr w:type="spellStart"/>
      <w:r w:rsidRPr="00576C3D">
        <w:t>deklaranter</w:t>
      </w:r>
      <w:proofErr w:type="spellEnd"/>
      <w:r w:rsidRPr="00576C3D">
        <w:t>, og særskilte opprinnelsesregler for CBAM-tilfeller som speiler EUs opprinnelsesregler, da slike regler som det vises til i CBAM-forordningen ikke finnes i norsk rett.</w:t>
      </w:r>
    </w:p>
    <w:p w14:paraId="73051BD8" w14:textId="77777777" w:rsidR="005D314E" w:rsidRPr="00576C3D" w:rsidRDefault="005D314E" w:rsidP="00576C3D">
      <w:pPr>
        <w:pStyle w:val="Overskrift2"/>
      </w:pPr>
      <w:r w:rsidRPr="00576C3D">
        <w:t>Ansvarlig myndighet i § 3</w:t>
      </w:r>
    </w:p>
    <w:p w14:paraId="260A1911" w14:textId="77777777" w:rsidR="005D314E" w:rsidRPr="00576C3D" w:rsidRDefault="005D314E" w:rsidP="00576C3D">
      <w:pPr>
        <w:pStyle w:val="Overskrift3"/>
      </w:pPr>
      <w:r w:rsidRPr="00576C3D">
        <w:t>Forslaget i høringsnotatet</w:t>
      </w:r>
    </w:p>
    <w:p w14:paraId="6C7074B8" w14:textId="77777777" w:rsidR="005D314E" w:rsidRPr="00576C3D" w:rsidRDefault="005D314E" w:rsidP="00576C3D">
      <w:r w:rsidRPr="00576C3D">
        <w:t>Forordningen gir ikke regler om hvilke myndighetsorgan som skal ha kompetanse som ansvarlig myndighet etter forordningen. Dette overlates til det enkelte land å utpeke, jf. CBAM-forordningen artikkel 11 nr. 1. Departementet foreslo i høringsnotatet en hjemmel i § 3 til å gi Kongen kompetanse til å fastsette hvilke myndighetsorgan som er ansvarlig myndighet etter loven. Dette ble forslått regulert i forskrift av praktiske hensyn. Tollmyndighetenes kompetanse ble ikke omfattet av lovhjemmelen ettersom tollmyndighetene gis kompetanse etter CBAM-forordningen direkte når denne gjennomføres som lov. Siden det kun er en tollmyndighet i Norge, er Tolletaten eneste myndighetsorgan for disse oppgavene.</w:t>
      </w:r>
    </w:p>
    <w:p w14:paraId="313AA4FD" w14:textId="77777777" w:rsidR="005D314E" w:rsidRPr="00576C3D" w:rsidRDefault="005D314E" w:rsidP="00576C3D">
      <w:r w:rsidRPr="00576C3D">
        <w:t xml:space="preserve">Videre foreslo departementet at § 3 skulle gi hjemmel til å fastsette hvilke myndighetsorgan som fører tilsyn med at bestemmelsene gitt i eller i </w:t>
      </w:r>
      <w:proofErr w:type="gramStart"/>
      <w:r w:rsidRPr="00576C3D">
        <w:t>medhold av</w:t>
      </w:r>
      <w:proofErr w:type="gramEnd"/>
      <w:r w:rsidRPr="00576C3D">
        <w:t xml:space="preserve"> loven overholdes.</w:t>
      </w:r>
    </w:p>
    <w:p w14:paraId="31D8585A" w14:textId="77777777" w:rsidR="005D314E" w:rsidRPr="00576C3D" w:rsidRDefault="005D314E" w:rsidP="00576C3D">
      <w:pPr>
        <w:pStyle w:val="Overskrift3"/>
      </w:pPr>
      <w:r w:rsidRPr="00576C3D">
        <w:t>Høringsinnspill</w:t>
      </w:r>
    </w:p>
    <w:p w14:paraId="53C23163" w14:textId="77777777" w:rsidR="005D314E" w:rsidRPr="00576C3D" w:rsidRDefault="005D314E" w:rsidP="00576C3D">
      <w:r w:rsidRPr="00576C3D">
        <w:t>Det er ikke kommet inn noen høringsinnspill som knytter seg til utformingen av § 3.</w:t>
      </w:r>
    </w:p>
    <w:p w14:paraId="5BED81BF" w14:textId="77777777" w:rsidR="005D314E" w:rsidRPr="00576C3D" w:rsidRDefault="005D314E" w:rsidP="00576C3D">
      <w:pPr>
        <w:pStyle w:val="Overskrift3"/>
      </w:pPr>
      <w:r w:rsidRPr="00576C3D">
        <w:t>Departementets vurdering</w:t>
      </w:r>
    </w:p>
    <w:p w14:paraId="419773F9" w14:textId="77777777" w:rsidR="005D314E" w:rsidRPr="00576C3D" w:rsidRDefault="005D314E" w:rsidP="00576C3D">
      <w:r w:rsidRPr="00576C3D">
        <w:t xml:space="preserve">Departementet opprettholder forslaget i høringsnotatet om at Kongen fastsetter hvem som er ansvarlig myndighet etter loven. I utformingen av § 3 har departementet lagt vekt på at forvaltningen av oppgaver som ilegges ansvarlig myndighet i CBAM-forordningen, skal gjøres på en effektiv måte. En slik løsning gir også tilstrekkelig fleksibilitet til å endre oppgavefordelingen mellom myndighetsorganene dersom det anses nødvendig eller blir </w:t>
      </w:r>
      <w:proofErr w:type="gramStart"/>
      <w:r w:rsidRPr="00576C3D">
        <w:t>påkrevet</w:t>
      </w:r>
      <w:proofErr w:type="gramEnd"/>
      <w:r w:rsidRPr="00576C3D">
        <w:t xml:space="preserve"> som følge av fremtidig vedtatte underliggende rettsakter. Departementet antar at det ikke vil oppstå hyppig behov for slike endringer, da de underliggende rettsaktene kun skal supplere bestemmelser i CBAM-forordningen.</w:t>
      </w:r>
    </w:p>
    <w:p w14:paraId="6A48ED66" w14:textId="77777777" w:rsidR="005D314E" w:rsidRPr="00576C3D" w:rsidRDefault="005D314E" w:rsidP="00576C3D">
      <w:r w:rsidRPr="00576C3D">
        <w:t xml:space="preserve">Selv om departementet fremdeles vurderer det som hensiktsmessig at myndighetsfordelingen bør </w:t>
      </w:r>
      <w:proofErr w:type="gramStart"/>
      <w:r w:rsidRPr="00576C3D">
        <w:t>fremgå</w:t>
      </w:r>
      <w:proofErr w:type="gramEnd"/>
      <w:r w:rsidRPr="00576C3D">
        <w:t xml:space="preserve"> av forskrift, foreslås det at det tas ut av ordlyden i § 3 at Kongen skal gi </w:t>
      </w:r>
      <w:r w:rsidRPr="00576C3D">
        <w:rPr>
          <w:rStyle w:val="kursiv"/>
        </w:rPr>
        <w:t>forskrift</w:t>
      </w:r>
      <w:r w:rsidRPr="00576C3D">
        <w:t xml:space="preserve"> om hvem som er ansvarlig myndighet. Det er de ulovfestede reglene for delegasjon av myndighet som gir formkravene til Kongens delegasjon av myndighet etter CBAM-forordningen, og departementet ser ikke grunn til å lovfeste avvikende regler.</w:t>
      </w:r>
    </w:p>
    <w:p w14:paraId="0AC84902" w14:textId="77777777" w:rsidR="005D314E" w:rsidRPr="00576C3D" w:rsidRDefault="005D314E" w:rsidP="00576C3D">
      <w:r w:rsidRPr="00576C3D">
        <w:t>Departementet legger opp til at Miljødirektoratet og Skatteetaten får myndighetsoppgaver som ansvarlig myndighet under CBAM-forordningen. Miljødirektoratet vil være ansvarlig myndighet for kontroll av CBAM-erklæringer, kontroll av oppgjørsforpliktelsen, og fastsetting av overtredelsesgebyr etter artikkel 26 i sin helhet. Skatteetaten vil være ansvarlig myndighet for autorisering av CBAM-</w:t>
      </w:r>
      <w:proofErr w:type="spellStart"/>
      <w:r w:rsidRPr="00576C3D">
        <w:t>deklaranter</w:t>
      </w:r>
      <w:proofErr w:type="spellEnd"/>
      <w:r w:rsidRPr="00576C3D">
        <w:t xml:space="preserve"> etter CBAM-forordningen artikkel 5 og 17. Det innebærer å avgjøre søknader om autorisasjon og fatte vedtak om tilbakekall av en autorisasjon dersom vilkårene ikke lengre er oppfylte. Skattedirektoratet vil være overordnet myndighet og klageinstans for skattekontorenes vedtak om avslag eller tilbakekall. Innkrevingsmyndigheten i Skatteetaten skal innkreve krav som oppstår etter CBAM-regelverket.</w:t>
      </w:r>
    </w:p>
    <w:p w14:paraId="40A59B3B" w14:textId="77777777" w:rsidR="005D314E" w:rsidRPr="00576C3D" w:rsidRDefault="005D314E" w:rsidP="00576C3D">
      <w:r w:rsidRPr="00576C3D">
        <w:t xml:space="preserve">Departementet går ikke videre med siste del av forslaget i høringsnotatet om at Kongen fastsetter hvilke myndighetsorgan som fører tilsyn med at bestemmelsene gitt i eller i </w:t>
      </w:r>
      <w:proofErr w:type="gramStart"/>
      <w:r w:rsidRPr="00576C3D">
        <w:t>medhold av</w:t>
      </w:r>
      <w:proofErr w:type="gramEnd"/>
      <w:r w:rsidRPr="00576C3D">
        <w:t xml:space="preserve"> loven overholdes fordi dette nå foreslås å reguleres i § 4 første ledd.</w:t>
      </w:r>
    </w:p>
    <w:p w14:paraId="2C41078B" w14:textId="77777777" w:rsidR="005D314E" w:rsidRPr="00576C3D" w:rsidRDefault="005D314E" w:rsidP="00576C3D">
      <w:pPr>
        <w:pStyle w:val="Overskrift2"/>
      </w:pPr>
      <w:r w:rsidRPr="00576C3D">
        <w:t>Tilsyn i § 4</w:t>
      </w:r>
    </w:p>
    <w:p w14:paraId="55CB228E" w14:textId="77777777" w:rsidR="005D314E" w:rsidRPr="00576C3D" w:rsidRDefault="005D314E" w:rsidP="00576C3D">
      <w:pPr>
        <w:pStyle w:val="Overskrift3"/>
      </w:pPr>
      <w:r w:rsidRPr="00576C3D">
        <w:t>Forslaget i høringsnotatet</w:t>
      </w:r>
    </w:p>
    <w:p w14:paraId="6CF9913A" w14:textId="77777777" w:rsidR="005D314E" w:rsidRPr="00576C3D" w:rsidRDefault="005D314E" w:rsidP="00576C3D">
      <w:r w:rsidRPr="00576C3D">
        <w:t xml:space="preserve">I høringsnotatet vurderte departementet at CBAM-forordningen ikke gir ansvarlig myndighet hjemmel til å utføre stedlig tilsyn. Artikkel 19 i CBAM-forordningen gir ansvarlig myndighet kompetanse til å gjennomgå CBAM-erklæringer, og departementet vurderte i den sammenheng at det er behov for at ansvarlig myndighet kan gjennomføre stedlige tilsyn. Tilsyn er et inngripende virkemiddel som krever hjemmel i lov, og departementet foreslo derfor en egen hjemmel for dette i § 4. Departementet foreslo at ansvarlig myndighet etter loven skal ha fri adgang til bygninger, transportmidler, lagre, innretninger eller områder hvor varer som er regulert i loven befinner seg eller som benyttes i næringsvirksomheten. Departementet foreslo også at ansvarlig myndighet skal kunne kreve å få lagt frem og granske dokumenter og annet materiale som kan ha betydning for deres oppgaver etter loven, samt undersøke, ta prøver av og kontrollere varer mv. som er regulert i </w:t>
      </w:r>
      <w:proofErr w:type="gramStart"/>
      <w:r w:rsidRPr="00576C3D">
        <w:t>medhold av</w:t>
      </w:r>
      <w:proofErr w:type="gramEnd"/>
      <w:r w:rsidRPr="00576C3D">
        <w:t xml:space="preserve"> loven.</w:t>
      </w:r>
    </w:p>
    <w:p w14:paraId="3D4550A3" w14:textId="77777777" w:rsidR="005D314E" w:rsidRPr="00576C3D" w:rsidRDefault="005D314E" w:rsidP="00576C3D">
      <w:r w:rsidRPr="00576C3D">
        <w:t>Behovet for stedlig tilsyn er særlig knyttet til kontroll av plikten til å levere CBAM-sertifikater og CBAM-erklæringer, for eksempel for å avdekke om mengden CBAM-varer som har blitt importert stemmer overens med innrapportert data fra Tolletaten. Stedlige tilsyn hos importører i Norge kan også gi utfyllende informasjon om utslipp og karbonpris i tredjeland.</w:t>
      </w:r>
    </w:p>
    <w:p w14:paraId="27334CB7" w14:textId="77777777" w:rsidR="005D314E" w:rsidRPr="00576C3D" w:rsidRDefault="005D314E" w:rsidP="00576C3D">
      <w:pPr>
        <w:pStyle w:val="Overskrift3"/>
      </w:pPr>
      <w:r w:rsidRPr="00576C3D">
        <w:t>Høringsinnspill</w:t>
      </w:r>
    </w:p>
    <w:p w14:paraId="7612D79A" w14:textId="77777777" w:rsidR="005D314E" w:rsidRPr="00576C3D" w:rsidRDefault="005D314E" w:rsidP="00576C3D">
      <w:r w:rsidRPr="00576C3D">
        <w:rPr>
          <w:rStyle w:val="kursiv"/>
        </w:rPr>
        <w:t>Posten Bring AS</w:t>
      </w:r>
      <w:r w:rsidRPr="00576C3D">
        <w:t xml:space="preserve"> ber om at lovens bestemmelser om kontroll rettes mot den deklarasjonspliktige, og ikke mot speditør eller transportør.</w:t>
      </w:r>
    </w:p>
    <w:p w14:paraId="4BE627F4" w14:textId="77777777" w:rsidR="005D314E" w:rsidRPr="00576C3D" w:rsidRDefault="005D314E" w:rsidP="00576C3D">
      <w:pPr>
        <w:pStyle w:val="Overskrift3"/>
      </w:pPr>
      <w:r w:rsidRPr="00576C3D">
        <w:t>Departementets vurdering</w:t>
      </w:r>
    </w:p>
    <w:p w14:paraId="5797A2F7" w14:textId="77777777" w:rsidR="005D314E" w:rsidRPr="00576C3D" w:rsidRDefault="005D314E" w:rsidP="00576C3D">
      <w:r w:rsidRPr="00576C3D">
        <w:t>Departementet opprettholder forslag til bestemmelse om tilsyn som ble foreslått i høringsnotatet, med noen mindre endringer.</w:t>
      </w:r>
    </w:p>
    <w:p w14:paraId="6F53CA13" w14:textId="77777777" w:rsidR="005D314E" w:rsidRPr="00576C3D" w:rsidRDefault="005D314E" w:rsidP="00576C3D">
      <w:r w:rsidRPr="00576C3D">
        <w:t xml:space="preserve">Departementet mener det er behov for nytt </w:t>
      </w:r>
      <w:r w:rsidRPr="00576C3D">
        <w:rPr>
          <w:rStyle w:val="kursiv"/>
        </w:rPr>
        <w:t>første ledd</w:t>
      </w:r>
      <w:r w:rsidRPr="00576C3D">
        <w:t xml:space="preserve"> i § 4 som regulerer kompetansen til å føre tilsyn med bestemmelser i CBAM-loven. I høringsnotatet var en slik hjemmel foreslått regulert i § 3 for ansvarlig myndighet, som nå utelukkende fastsetter Kongen sin kompetanse til å bestemme hvem som er ansvarlig myndighet etter CBAM-loven. Tilsynsdelen av bestemmelsen foreslås flyttet som følge av at det siden høringen er identifisert et behov for at tollmyndighetene får kompetanse til å føre tilsyn i gjennomføringsforordning om CBAM-varer brakt til kontinentalsokkelen eller eksklusiv økonomisk sone som ble vedtatt 3. november 2025, jf. omtale i punkt 5.3.3.3. Departementet vurderer at ansvarlig myndighet og tollmyndighetens kompetanse til å føre tilsyn bør </w:t>
      </w:r>
      <w:proofErr w:type="gramStart"/>
      <w:r w:rsidRPr="00576C3D">
        <w:t>fremgå</w:t>
      </w:r>
      <w:proofErr w:type="gramEnd"/>
      <w:r w:rsidRPr="00576C3D">
        <w:t xml:space="preserve"> av samme bestemmelse.</w:t>
      </w:r>
    </w:p>
    <w:p w14:paraId="7C7C2DC4" w14:textId="77777777" w:rsidR="005D314E" w:rsidRPr="00576C3D" w:rsidRDefault="005D314E" w:rsidP="00576C3D">
      <w:r w:rsidRPr="00576C3D">
        <w:t xml:space="preserve">I </w:t>
      </w:r>
      <w:r w:rsidRPr="00576C3D">
        <w:rPr>
          <w:rStyle w:val="kursiv"/>
        </w:rPr>
        <w:t xml:space="preserve">første ledd første punktum </w:t>
      </w:r>
      <w:r w:rsidRPr="00576C3D">
        <w:t xml:space="preserve">foreslås det en regel om at ansvarlig myndighet kan føre tilsyn med at bestemmelser gitt i eller i </w:t>
      </w:r>
      <w:proofErr w:type="gramStart"/>
      <w:r w:rsidRPr="00576C3D">
        <w:t>medhold av</w:t>
      </w:r>
      <w:proofErr w:type="gramEnd"/>
      <w:r w:rsidRPr="00576C3D">
        <w:t xml:space="preserve"> loven overholdes. Bestemmelsen bidrar til å oppfylle krav om at ansvarlig myndighet gis tilstrekkelig kompetanse til å utføre oppgaver som de er tildelt i CBAM-regelverket, jf. artikkel 11 nr. 1.</w:t>
      </w:r>
    </w:p>
    <w:p w14:paraId="42F4A393" w14:textId="77777777" w:rsidR="005D314E" w:rsidRPr="00576C3D" w:rsidRDefault="005D314E" w:rsidP="00576C3D">
      <w:r w:rsidRPr="00576C3D">
        <w:t xml:space="preserve">I gjennomføringsforordning om CBAM-varer brakt til kontinentalsokkelen eller eksklusiv økonomisk sone er det i artikkel 9 gitt regler om at tollmyndighetene kan foreta kontroll, herunder gjennomføre stedlig tilsyn, av CBAM-varer som føres til kontinentalsokkelen eller eksklusiv økonomisk sone. Det legges opp til at forordningen gjennomføres i norsk rett gjennom inkorporasjon i forskrift vedtatt med hjemmel i lovforslagets § 2 andre ledd. Departementet vurderer at bestemmelsen om tollmyndighetens adgang til å føre tilsyn er av en slik inngripende art at det bør </w:t>
      </w:r>
      <w:proofErr w:type="gramStart"/>
      <w:r w:rsidRPr="00576C3D">
        <w:t>fremgå</w:t>
      </w:r>
      <w:proofErr w:type="gramEnd"/>
      <w:r w:rsidRPr="00576C3D">
        <w:t xml:space="preserve"> på lovs nivå, og ikke bare i forskrift. Departementet foreslår derfor at tollmyndighetens kompetanse til å føre tilsyn inkluderes i § 4 </w:t>
      </w:r>
      <w:r w:rsidRPr="00576C3D">
        <w:rPr>
          <w:rStyle w:val="kursiv"/>
        </w:rPr>
        <w:t xml:space="preserve">første ledd annet punktum, </w:t>
      </w:r>
      <w:r w:rsidRPr="00576C3D">
        <w:t>samtidig som den begrenses til når CBAM-varer føres til norsk kontinentalsokkel eller norsk økonomisk sone.</w:t>
      </w:r>
    </w:p>
    <w:p w14:paraId="3E34237B" w14:textId="77777777" w:rsidR="005D314E" w:rsidRPr="00576C3D" w:rsidRDefault="005D314E" w:rsidP="00576C3D">
      <w:r w:rsidRPr="00576C3D">
        <w:t xml:space="preserve">I </w:t>
      </w:r>
      <w:r w:rsidRPr="00576C3D">
        <w:rPr>
          <w:rStyle w:val="kursiv"/>
        </w:rPr>
        <w:t>andre ledd</w:t>
      </w:r>
      <w:r w:rsidRPr="00576C3D">
        <w:t xml:space="preserve"> foreslår departementet en regel om stedlig tilsyn som i stor grad baserer seg på forslaget til § 4 første ledd i høringsnotatet. Dette er en hjemmel for stedlig tilsyn som er generelt utformet slik at den ved behov kan benyttes for samtlige kontrolloppgaver som ansvarlig myndighet får i CBAM-regelverket. </w:t>
      </w:r>
    </w:p>
    <w:p w14:paraId="714200CB" w14:textId="77777777" w:rsidR="005D314E" w:rsidRPr="00576C3D" w:rsidRDefault="005D314E" w:rsidP="00576C3D">
      <w:r w:rsidRPr="00576C3D">
        <w:t xml:space="preserve">Når det gjelder høringsinnspillet fra </w:t>
      </w:r>
      <w:r w:rsidRPr="00576C3D">
        <w:rPr>
          <w:rStyle w:val="kursiv"/>
        </w:rPr>
        <w:t>Posten Bring AS</w:t>
      </w:r>
      <w:r w:rsidRPr="00576C3D">
        <w:t xml:space="preserve"> vurderer departementet fremdeles at det i visse tilfeller kan være behov for å føre tilsyn hos andre enn CBAM-</w:t>
      </w:r>
      <w:proofErr w:type="spellStart"/>
      <w:r w:rsidRPr="00576C3D">
        <w:t>deklaranten</w:t>
      </w:r>
      <w:proofErr w:type="spellEnd"/>
      <w:r w:rsidRPr="00576C3D">
        <w:t>. Dette omfatter blant annet aktører som har kjøpt CBAM-varer fra en importør, eller aktører som oppbevarer varer på vegne av CBAM-</w:t>
      </w:r>
      <w:proofErr w:type="spellStart"/>
      <w:r w:rsidRPr="00576C3D">
        <w:t>deklaranten</w:t>
      </w:r>
      <w:proofErr w:type="spellEnd"/>
      <w:r w:rsidRPr="00576C3D">
        <w:t xml:space="preserve"> (slik som speditører eller transportører). Departementet foreslår imidlertid at det fremgår tydelig av ordlyden i § 4 andre ledd siste alternativ at tilsyn begrenser seg til bygninger som benyttes i næringsvirksomheten til den som innfører eller oppbevarer varene.</w:t>
      </w:r>
    </w:p>
    <w:p w14:paraId="0C256728" w14:textId="77777777" w:rsidR="005D314E" w:rsidRPr="00576C3D" w:rsidRDefault="005D314E" w:rsidP="00576C3D">
      <w:r w:rsidRPr="00576C3D">
        <w:t xml:space="preserve">Etter CBAM-forordningen artikkel 25a kan ansvarlig myndighet overvåke om den nedre importgrensen er nådd. Departementet opprettholder derfor forslaget i høringsnotatet om at ansvarlig myndighet har behov for tilgang til bygninger, transportmidler, lagre, innretninger eller områder hvor CBAM-varer </w:t>
      </w:r>
      <w:r w:rsidRPr="00576C3D">
        <w:rPr>
          <w:rStyle w:val="kursiv"/>
        </w:rPr>
        <w:t xml:space="preserve">kan </w:t>
      </w:r>
      <w:r w:rsidRPr="00576C3D">
        <w:t>befinne seg, jf. forslag til § 4 andre ledd.</w:t>
      </w:r>
    </w:p>
    <w:p w14:paraId="11F3234E" w14:textId="77777777" w:rsidR="005D314E" w:rsidRPr="00576C3D" w:rsidRDefault="005D314E" w:rsidP="00576C3D">
      <w:r w:rsidRPr="00576C3D">
        <w:t xml:space="preserve">Behovet for å kreve fremlagt dokumentasjon og undersøke varer som </w:t>
      </w:r>
      <w:r w:rsidRPr="00576C3D">
        <w:rPr>
          <w:rStyle w:val="kursiv"/>
        </w:rPr>
        <w:t xml:space="preserve">kan </w:t>
      </w:r>
      <w:r w:rsidRPr="00576C3D">
        <w:t xml:space="preserve">omfattes av loven gjør seg også gjeldende for </w:t>
      </w:r>
      <w:r w:rsidRPr="00576C3D">
        <w:rPr>
          <w:rStyle w:val="kursiv"/>
        </w:rPr>
        <w:t>tredje og fjerde ledd</w:t>
      </w:r>
      <w:r w:rsidRPr="00576C3D">
        <w:t xml:space="preserve"> i lovforslaget § 4. Ansvarlig myndighet må kunne granske dokumenter og kontrollere ulike varer uten å måtte bevise før tilsynet gjennomføres at den nedre importgrensen er nådd, og at forpliktelsene etter CBAM-regelverket gjelder. Forslaget i tredje ledd om at ansvarlig myndighet kan kreve å få lagt frem og få granske dokumenter og annet materiale som kan ha betydning for deres oppgaver etter denne loven opprettholdes derfor uendret. Reglene i CBAM-forordningen og underliggende rettsakter vil imidlertid sette rammene for hva som kan anses å være av betydning for ansvarlige myndigheter.</w:t>
      </w:r>
    </w:p>
    <w:p w14:paraId="379E1C89" w14:textId="77777777" w:rsidR="005D314E" w:rsidRPr="00576C3D" w:rsidRDefault="005D314E" w:rsidP="00576C3D">
      <w:r w:rsidRPr="00576C3D">
        <w:t xml:space="preserve">I høringen fremgikk det av siste ledd i § 4 at ansvarlig myndighet kan undersøke, ta prøver av og kontrollere varer </w:t>
      </w:r>
      <w:r w:rsidRPr="00576C3D">
        <w:rPr>
          <w:rStyle w:val="kursiv"/>
        </w:rPr>
        <w:t>mv</w:t>
      </w:r>
      <w:r w:rsidRPr="00576C3D">
        <w:t xml:space="preserve">. som er, eller kan være, regulert i </w:t>
      </w:r>
      <w:proofErr w:type="gramStart"/>
      <w:r w:rsidRPr="00576C3D">
        <w:t>medhold av</w:t>
      </w:r>
      <w:proofErr w:type="gramEnd"/>
      <w:r w:rsidRPr="00576C3D">
        <w:t xml:space="preserve"> denne loven. Departementet foreslår å ta ut </w:t>
      </w:r>
      <w:r w:rsidRPr="00576C3D">
        <w:rPr>
          <w:rStyle w:val="kursiv"/>
        </w:rPr>
        <w:t>mv.,</w:t>
      </w:r>
      <w:r w:rsidRPr="00576C3D">
        <w:t xml:space="preserve"> slik at det kun er varer som er, eller som kan være omfattet av CBAM-regelverket som det kan foretas nærmere undersøkelser av.</w:t>
      </w:r>
    </w:p>
    <w:p w14:paraId="47B98C42" w14:textId="77777777" w:rsidR="005D314E" w:rsidRPr="00576C3D" w:rsidRDefault="005D314E" w:rsidP="00576C3D">
      <w:r w:rsidRPr="00576C3D">
        <w:t>Forvaltningsloven § 15 om granskning og ny forvaltningslov § 20 om undersøkelse eller beslag supplerer bestemmelsen ved å gi regler om fremgangsmåten for tilsyn.</w:t>
      </w:r>
    </w:p>
    <w:p w14:paraId="3446ADAC" w14:textId="77777777" w:rsidR="005D314E" w:rsidRPr="00576C3D" w:rsidRDefault="005D314E" w:rsidP="00576C3D">
      <w:pPr>
        <w:pStyle w:val="Overskrift2"/>
      </w:pPr>
      <w:r w:rsidRPr="00576C3D">
        <w:t>Opplysningsplikt i § 5</w:t>
      </w:r>
    </w:p>
    <w:p w14:paraId="16817654" w14:textId="77777777" w:rsidR="005D314E" w:rsidRPr="00576C3D" w:rsidRDefault="005D314E" w:rsidP="00576C3D">
      <w:pPr>
        <w:pStyle w:val="Overskrift3"/>
      </w:pPr>
      <w:r w:rsidRPr="00576C3D">
        <w:t>Forslaget i høringsnotatet</w:t>
      </w:r>
    </w:p>
    <w:p w14:paraId="7FA53BFE" w14:textId="77777777" w:rsidR="005D314E" w:rsidRPr="00576C3D" w:rsidRDefault="005D314E" w:rsidP="00576C3D">
      <w:r w:rsidRPr="00576C3D">
        <w:t>I høringsnotatet vurderte departementet at det var behov for en generelt utformet bestemmelse om opplysningsplikt for enhver som er involvert i import av CBAM-varer, og foreslo dette i § 5 første ledd. Bakgrunnen for forslaget var at ansvarlig myndighet kunne ha behov for å kreve opplysninger fra CBAM-</w:t>
      </w:r>
      <w:proofErr w:type="spellStart"/>
      <w:r w:rsidRPr="00576C3D">
        <w:t>deklaranten</w:t>
      </w:r>
      <w:proofErr w:type="spellEnd"/>
      <w:r w:rsidRPr="00576C3D">
        <w:t xml:space="preserve"> eller andre offentlige myndigheter, samt andre involvert i importen av CBAM-varer når de utfører sine oppgaver.</w:t>
      </w:r>
    </w:p>
    <w:p w14:paraId="00FB8A6B" w14:textId="77777777" w:rsidR="005D314E" w:rsidRPr="00576C3D" w:rsidRDefault="005D314E" w:rsidP="00576C3D">
      <w:r w:rsidRPr="00576C3D">
        <w:t>Videre foreslo departementet at første ledd ikke skulle gjelde innhentingen av opplysninger for ansvarlig myndighets oppgaver knyttet til autorisasjon og som ledd i kontroll av vilkårene for autorisasjon, men at dette heller skulle reguleres i § 5 annet ledd. Etter CBAM-forordningen artikkel 5 skal CBAM-</w:t>
      </w:r>
      <w:proofErr w:type="spellStart"/>
      <w:r w:rsidRPr="00576C3D">
        <w:t>deklaranten</w:t>
      </w:r>
      <w:proofErr w:type="spellEnd"/>
      <w:r w:rsidRPr="00576C3D">
        <w:t xml:space="preserve"> selv fremlegge nødvendige opplysninger for å få og opprettholde autorisasjonen. Departementet vurderte at ansvarlig myndighet, i tillegg til opplysninger fra CBAM-</w:t>
      </w:r>
      <w:proofErr w:type="spellStart"/>
      <w:r w:rsidRPr="00576C3D">
        <w:t>deklaranten</w:t>
      </w:r>
      <w:proofErr w:type="spellEnd"/>
      <w:r w:rsidRPr="00576C3D">
        <w:t xml:space="preserve"> selv, kunne ha behov for å innhente opplysninger fra skatte- og innkrevingsmyndighetene for kontrollformål i forbindelse med en søknad om, eller tilbakekall av autorisasjon, fordi en skatteattest kan ha ulike svakheter.</w:t>
      </w:r>
    </w:p>
    <w:p w14:paraId="4CF9EA2F" w14:textId="77777777" w:rsidR="005D314E" w:rsidRPr="00576C3D" w:rsidRDefault="005D314E" w:rsidP="00576C3D">
      <w:pPr>
        <w:pStyle w:val="Overskrift3"/>
      </w:pPr>
      <w:r w:rsidRPr="00576C3D">
        <w:t>Høringsinnspill</w:t>
      </w:r>
    </w:p>
    <w:p w14:paraId="2A99F993" w14:textId="77777777" w:rsidR="005D314E" w:rsidRPr="00576C3D" w:rsidRDefault="005D314E" w:rsidP="00576C3D">
      <w:r w:rsidRPr="00576C3D">
        <w:rPr>
          <w:rStyle w:val="kursiv"/>
        </w:rPr>
        <w:t>Posten Bring AS</w:t>
      </w:r>
      <w:r w:rsidRPr="00576C3D">
        <w:t xml:space="preserve"> ber om at lovens bestemmelser om kontroll rettes mot den deklarasjonspliktige, og ikke mot speditør eller transportør.</w:t>
      </w:r>
    </w:p>
    <w:p w14:paraId="70083BF0" w14:textId="77777777" w:rsidR="005D314E" w:rsidRPr="00576C3D" w:rsidRDefault="005D314E" w:rsidP="00576C3D">
      <w:pPr>
        <w:pStyle w:val="Overskrift3"/>
      </w:pPr>
      <w:r w:rsidRPr="00576C3D">
        <w:t>Departementets vurdering</w:t>
      </w:r>
    </w:p>
    <w:p w14:paraId="06F06798" w14:textId="77777777" w:rsidR="005D314E" w:rsidRPr="00576C3D" w:rsidRDefault="005D314E" w:rsidP="00576C3D">
      <w:r w:rsidRPr="00576C3D">
        <w:t>Departementet opprettholder forslaget fra høringsnotatet, men vurderer at bestemmelsen bør snevres inn og presiseres opp mot ulike krav i CBAM-regelverket.</w:t>
      </w:r>
    </w:p>
    <w:p w14:paraId="4FC2DA01" w14:textId="77777777" w:rsidR="005D314E" w:rsidRPr="00576C3D" w:rsidRDefault="005D314E" w:rsidP="00576C3D">
      <w:r w:rsidRPr="00576C3D">
        <w:t>Utgangspunktet i CBAM-forordningen er at CBAM-</w:t>
      </w:r>
      <w:proofErr w:type="spellStart"/>
      <w:r w:rsidRPr="00576C3D">
        <w:t>deklaranten</w:t>
      </w:r>
      <w:proofErr w:type="spellEnd"/>
      <w:r w:rsidRPr="00576C3D">
        <w:t xml:space="preserve"> selv skal fremlegge nødvendige opplysninger for at ansvarlig myndighet skal kunne vurdere innholdet i søknad om autorisasjon og innlevering av årlig CBAM-erklæring. CBAM-forordningen forutsetter imidlertid at nasjonal lovgivning gir ansvarlig myndighet tilstrekkelig kompetanse til å utføre oppgavene, jf. artikkel 11 nr. 1.</w:t>
      </w:r>
    </w:p>
    <w:p w14:paraId="01324384" w14:textId="77777777" w:rsidR="005D314E" w:rsidRPr="00576C3D" w:rsidRDefault="005D314E" w:rsidP="00576C3D">
      <w:r w:rsidRPr="00576C3D">
        <w:t>Selv om CBAM-forordningen og noen underliggende rettsakter gir ansvarlig myndighet hjemmel til å be søkeren eller CBAM-</w:t>
      </w:r>
      <w:proofErr w:type="spellStart"/>
      <w:r w:rsidRPr="00576C3D">
        <w:t>deklaranten</w:t>
      </w:r>
      <w:proofErr w:type="spellEnd"/>
      <w:r w:rsidRPr="00576C3D">
        <w:t xml:space="preserve"> om ytterligere opplysninger, mener departementet at disse ikke er tilstrekkelige til å oppfylle kravene i CBAM-forordningen artikkel 11 nr. 1. Særlig gjelder dette for de oppgaver som er lagt til ansvarlig myndighet ved kontroll av CBAM-erklæringer og den nedre importgrensen. Det er nødvendig å sikre at ansvarlig myndighet kan gjøre selvstendige vurderinger av informasjon de får fra Kommisjonen i CBAM-registeret ved behov, jf. punkt 2.2.8 og redegjørelsen av Kommisjonens rolle i CBAM.</w:t>
      </w:r>
    </w:p>
    <w:p w14:paraId="0054C8B1" w14:textId="77777777" w:rsidR="005D314E" w:rsidRPr="00576C3D" w:rsidRDefault="005D314E" w:rsidP="00576C3D">
      <w:r w:rsidRPr="00576C3D">
        <w:t>Departementet vurderer videre at opplysningspliktene som følger av autoriseringsforordningen artikkel 5, 9 og 22 er av en så inngripende karakter at de bør fremgå direkte av loven, jf. omtale av autoriseringsforordningen i punkt 2.2.5.1. På bakgrunn av dette foreslår departementet en bestemmelse om opplysningsplikt og politiattest i § 5.</w:t>
      </w:r>
    </w:p>
    <w:p w14:paraId="4FA3E872" w14:textId="77777777" w:rsidR="005D314E" w:rsidRPr="00576C3D" w:rsidRDefault="005D314E" w:rsidP="00576C3D">
      <w:r w:rsidRPr="00576C3D">
        <w:t xml:space="preserve">I </w:t>
      </w:r>
      <w:r w:rsidRPr="00576C3D">
        <w:rPr>
          <w:rStyle w:val="kursiv"/>
        </w:rPr>
        <w:t xml:space="preserve">første ledd </w:t>
      </w:r>
      <w:r w:rsidRPr="00576C3D">
        <w:t>foreslås en regel om at ansvarlig myndighet skal pålegge søkeren eller CBAM-</w:t>
      </w:r>
      <w:proofErr w:type="spellStart"/>
      <w:r w:rsidRPr="00576C3D">
        <w:t>deklaranten</w:t>
      </w:r>
      <w:proofErr w:type="spellEnd"/>
      <w:r w:rsidRPr="00576C3D">
        <w:t xml:space="preserve"> å gi opplysninger som er nødvendige for å vurdere hvorvidt søknaden om autorisasjon som CBAM-</w:t>
      </w:r>
      <w:proofErr w:type="spellStart"/>
      <w:r w:rsidRPr="00576C3D">
        <w:t>deklarant</w:t>
      </w:r>
      <w:proofErr w:type="spellEnd"/>
      <w:r w:rsidRPr="00576C3D">
        <w:t xml:space="preserve"> skal innvilges eller om en autorisasjon kan opprettholdes, og at det skal fremlegges avgrenset uttømmende politiattest. Bestemmelsen gir hjemmel til å kreve opplysninger for å kunne vurdere om vilkårene i CBAM-forordningen artikkel 17 nr. 2 og nr. 8 er oppfylte.</w:t>
      </w:r>
    </w:p>
    <w:p w14:paraId="5E1940F4" w14:textId="77777777" w:rsidR="005D314E" w:rsidRPr="00576C3D" w:rsidRDefault="005D314E" w:rsidP="00576C3D">
      <w:r w:rsidRPr="00576C3D">
        <w:t xml:space="preserve">Første ledd gir </w:t>
      </w:r>
      <w:r w:rsidRPr="00576C3D">
        <w:rPr>
          <w:rStyle w:val="regular"/>
        </w:rPr>
        <w:t>ansvarlig myndighet adgang til å be søkeren eller den autoriserte CBAM-</w:t>
      </w:r>
      <w:proofErr w:type="spellStart"/>
      <w:r w:rsidRPr="00576C3D">
        <w:rPr>
          <w:rStyle w:val="regular"/>
        </w:rPr>
        <w:t>deklaranten</w:t>
      </w:r>
      <w:proofErr w:type="spellEnd"/>
      <w:r w:rsidRPr="00576C3D">
        <w:rPr>
          <w:rStyle w:val="regular"/>
        </w:rPr>
        <w:t xml:space="preserve"> om tilleggsopplysninger ut over det aktøren selv har opplyst om i søknaden, jf. artikkel 5 og 22 i autoriseringsforordningen.</w:t>
      </w:r>
    </w:p>
    <w:p w14:paraId="09DDB56C" w14:textId="77777777" w:rsidR="005D314E" w:rsidRPr="00576C3D" w:rsidRDefault="005D314E" w:rsidP="00576C3D">
      <w:pPr>
        <w:rPr>
          <w:rStyle w:val="regular"/>
        </w:rPr>
      </w:pPr>
      <w:r w:rsidRPr="00576C3D">
        <w:rPr>
          <w:rStyle w:val="regular"/>
        </w:rPr>
        <w:t>Første ledd gir også hjemmel for ansvarlig myndighet, når det er nødvendig, til å pålegge søkeren eller den autoriserte CBAM-</w:t>
      </w:r>
      <w:proofErr w:type="spellStart"/>
      <w:r w:rsidRPr="00576C3D">
        <w:rPr>
          <w:rStyle w:val="regular"/>
        </w:rPr>
        <w:t>deklaranten</w:t>
      </w:r>
      <w:proofErr w:type="spellEnd"/>
      <w:r w:rsidRPr="00576C3D">
        <w:rPr>
          <w:rStyle w:val="regular"/>
        </w:rPr>
        <w:t xml:space="preserve"> om å fremlegge politiattest for å kontrollere om vilkåret i CBAM-forordningen artikkel 17 nr. 2 bokstav a overholdes. </w:t>
      </w:r>
      <w:r w:rsidRPr="00576C3D">
        <w:t>Autoriseringsforordningen artikkel 9 nr. 3 gir medlemslandene kompetanse til å vurdere hvilken type politiattest eller lignende dokumentasjon som bør kreves for å dokumentere at søker ikke har b</w:t>
      </w:r>
      <w:r w:rsidRPr="00576C3D">
        <w:rPr>
          <w:rStyle w:val="regular"/>
        </w:rPr>
        <w:t>egått straffbare forhold knyttet til økonomisk aktivitet de siste fem årene</w:t>
      </w:r>
      <w:r w:rsidRPr="00576C3D">
        <w:t>, jf. CBAM-forordningen artikkel 17 nr. 2 bokstav a. Departementet vurderer at det er en avgrenset uttømmende politiattest jf. politiregisterloven § 41 første ledd som er best egnet for å vurdere om vilkåret i artikkel 17 nr. 2 bokstav a er oppfylt. På ordinære politiattester, jf. politiregisterloven § 40, skal det som hovedregel ikke oppgis reaksjoner som er ilagt ved dom avsagt eller forelegg vedtatt mer enn tre år før utstedelsen, med mindre et av unntakene i politiregisterloven § 40 nr. 7 kommer til anvendelse, jf. politiregisterloven § 40 nr. 5. Departementet mener derfor at ordinære politiattester ikke vil fange opp alle reaksjoner ilagt de siste fem årene før søknaden ble sendt, slik CBAM-forordningen artikkel 17 nr. 2 bokstav a krever. Ved å stille krav om fremleggelse av avgrensede uttømmende politiattester kan det sikres at attesten ikke omfatter flere straffebud enn det som er nødvendig ut fra formålet med attesten, samtidig som det gis en mer fullstendig oversikt bakover i tid over de relevante og nødvendige straffebud enn ved en ordinær attest, se nærmere Ot.prp. nr. 108 (2008–2009) punkt 21.7.</w:t>
      </w:r>
    </w:p>
    <w:p w14:paraId="1985AF7A" w14:textId="77777777" w:rsidR="005D314E" w:rsidRPr="00576C3D" w:rsidRDefault="005D314E" w:rsidP="00576C3D">
      <w:r w:rsidRPr="00576C3D">
        <w:t>Ved at uttømmende politiattester ikke er tidsbegrensede vil man derfor sikre at alle reaksjoner ilagt de siste fem årene før søknaden ble sendt, fanges opp. Selv om en slik løsning innebærer at også reaksjoner ilagt på et tidligere tidspunkt vil vises, finner departementet at det er nødvendig å kreve uttømmende politiattest for å tilfredsstille forordningens krav. Departementet understreker derfor at ved vurderingen av om vilkårene er oppfylt, vil det kun være reaksjoner ilagt de siste fem årene som skal vektlegges. Ved at attestene avgrenses til å bare vise nærmere bestemte lovbrudd knyttet til økonomisk kriminalitet, sikres det at tiltaket blir så lite inngripende som mulig. Departementet tar sikte på å regulere nærmere i forskrift hvilke konkrete straffebud som skal vises i politiattesten.</w:t>
      </w:r>
    </w:p>
    <w:p w14:paraId="38A99A7C" w14:textId="77777777" w:rsidR="005D314E" w:rsidRPr="00576C3D" w:rsidRDefault="005D314E" w:rsidP="00576C3D">
      <w:pPr>
        <w:rPr>
          <w:rStyle w:val="regular"/>
        </w:rPr>
      </w:pPr>
      <w:r w:rsidRPr="00576C3D">
        <w:rPr>
          <w:rStyle w:val="regular"/>
        </w:rPr>
        <w:t>Departementet bemerker at første ledd inneholder en nødvendighetsbegrensning, noe som også følger av autoriseringsforordningen artikkel 5 og 22. Ansvarlig myndighet kan derfor kun be om opplysninger som er nødvendige for å utføre oppgaver etter loven. Mange opplysninger vil være tilgjengelige i CBAM-registeret eller kan innhentes fra Kommisjonen, jf. CBAM-forordningen artikkel 13 nr. 2. Det vil derfor ikke være nødvendig å innhente informasjon som allerede kan oppdrives gjennom disse kildene.</w:t>
      </w:r>
    </w:p>
    <w:p w14:paraId="5D98659B" w14:textId="77777777" w:rsidR="005D314E" w:rsidRPr="00576C3D" w:rsidRDefault="005D314E" w:rsidP="00576C3D">
      <w:r w:rsidRPr="00576C3D">
        <w:t>I</w:t>
      </w:r>
      <w:r w:rsidRPr="00576C3D">
        <w:rPr>
          <w:rStyle w:val="kursiv"/>
        </w:rPr>
        <w:t xml:space="preserve"> annet ledd</w:t>
      </w:r>
      <w:r w:rsidRPr="00576C3D">
        <w:t xml:space="preserve"> </w:t>
      </w:r>
      <w:r w:rsidRPr="00576C3D">
        <w:rPr>
          <w:rStyle w:val="kursiv"/>
        </w:rPr>
        <w:t xml:space="preserve">første punktum </w:t>
      </w:r>
      <w:r w:rsidRPr="00576C3D">
        <w:t>foreslår departementet en bestemmelse som gir ansvarlig myndighet hjemmel til å be nærmere angitte offentlige myndigheter om opplysninger for å vurdere hvorvidt søkeren eller den autoriserte CBAM-</w:t>
      </w:r>
      <w:proofErr w:type="spellStart"/>
      <w:r w:rsidRPr="00576C3D">
        <w:t>deklaranten</w:t>
      </w:r>
      <w:proofErr w:type="spellEnd"/>
      <w:r w:rsidRPr="00576C3D">
        <w:t xml:space="preserve"> har vært involvert i alvorlige eller gjentatte overtredelser av tollregelverk, skatteregelverk, markedsmisbruksregelverk eller CBAM-regelverket, jf. CBAM-forordningen artikkel 17 nr. 2 bokstav a. Departementet vurderer at ansvarlig myndighet bør ha adgang til å be om opplysninger fra skattemyndighetene og tollmyndighetene når dette er nødvendig for å vurdere om disse vilkårene er oppfylte. I artikkel 9 nr. 1 i autoriseringsforordningen presiseres det at det ikke må være truffet en administrativ eller rettslig avgjørelse om brudd på disse regelverkene. Administrative sanksjoner som tilleggsskatt etter skattelovgivningen, herunder merverdiavgift og særavgifter oppstått ved innførsel, og tilleggsavgift etter tollavgiftsloven og overtredelsesgebyr etter vareførselsloven, er underlagt taushetsplikt og vil ikke være tilgjengelige for ansvarlig myndighet. En politiattest vil heller ikke vise om det er ilagt administrative sanksjoner. Det er derfor behov for en hjemmel som gir ansvarlig myndighet adgang til å innhente opplysninger fra skattemyndighetene og tollmyndighetene for å avklare om det foreligger slike administrative avgjørelser.</w:t>
      </w:r>
    </w:p>
    <w:p w14:paraId="3A7ECDFD" w14:textId="77777777" w:rsidR="005D314E" w:rsidRPr="00576C3D" w:rsidRDefault="005D314E" w:rsidP="00576C3D">
      <w:r w:rsidRPr="00576C3D">
        <w:t xml:space="preserve">Departementet foreslår i </w:t>
      </w:r>
      <w:r w:rsidRPr="00576C3D">
        <w:rPr>
          <w:rStyle w:val="kursiv"/>
        </w:rPr>
        <w:t>andre ledd andre punktum</w:t>
      </w:r>
      <w:r w:rsidRPr="00576C3D">
        <w:t xml:space="preserve"> at ansvarlig myndighet skal kunne pålegge opplysninger fra innkrevingsmyndigheten når det er nødvendig for å vurdere kravet om at søkeren har dokumentert tilstrekkelig finansiell og operasjonell kapasitet, jf. CBAM-forordningen artikkel 17 nr. 2 bokstav b.</w:t>
      </w:r>
    </w:p>
    <w:p w14:paraId="2DB14538" w14:textId="77777777" w:rsidR="005D314E" w:rsidRPr="00576C3D" w:rsidRDefault="005D314E" w:rsidP="00576C3D">
      <w:r w:rsidRPr="00576C3D">
        <w:t>Søkeren skal på søknadstidspunktet legge frem en erklæring fra skattemyndighetene om at det ikke foreligger skatterestanser, jf. CBAM-forordningen artikkel 5 nr. 5 bokstav d. I Norge tilsvarer dette en skatteattest. Artikkel 10 i autoriseringsforordningen presiserer når vilkåret om finansiell og operasjonell kapasitet i CBAM-forordningen artikkel 17 nr. 2 bokstav b anses oppfylt. Ett av vilkårene er at søkeren ikke er på vesentlig etterskudd med betaling av tollavgift eller skatter og avgifter som oppstår ved innførsel av varer. Skatteattesten inneholder informasjon om utestående krav på skatt og merverdiavgift, men omfatter ikke særavgifter eller tollavgifter. Slike opplysninger må eventuelt innhentes fra innkrevingsmyndigheten, som i Norge ligger under Skatteetaten.</w:t>
      </w:r>
    </w:p>
    <w:p w14:paraId="04B934D0" w14:textId="77777777" w:rsidR="005D314E" w:rsidRPr="00576C3D" w:rsidRDefault="005D314E" w:rsidP="00576C3D">
      <w:r w:rsidRPr="00576C3D">
        <w:t>Opplysninger som angitt i andre ledd skal kun innhentes dersom det er grunn til å tvile på egenerklæringen eller informasjonen søkeren har gitt ved søknadstidspunktet, eller dersom det senere foreligger informasjon som tilsier at vilkårene i artikkel 17 nr. 2 bokstav a ikke lengre er oppfylt.</w:t>
      </w:r>
    </w:p>
    <w:p w14:paraId="502BBD45" w14:textId="77777777" w:rsidR="005D314E" w:rsidRPr="00576C3D" w:rsidRDefault="005D314E" w:rsidP="00576C3D">
      <w:pPr>
        <w:rPr>
          <w:rStyle w:val="kursiv"/>
        </w:rPr>
      </w:pPr>
      <w:r w:rsidRPr="00576C3D">
        <w:rPr>
          <w:rStyle w:val="kursiv"/>
        </w:rPr>
        <w:t>Tredje ledd</w:t>
      </w:r>
      <w:r w:rsidRPr="00576C3D">
        <w:t xml:space="preserve"> gir ansvarlig myndighet hjemmel til å be om opplysninger for å utføre oppgaver knyttet til kontroll av CBAM-erklæringer og overvåking av den nedre importgrensen for å føre kontroll med aktører.</w:t>
      </w:r>
    </w:p>
    <w:p w14:paraId="3908D243" w14:textId="3BB31E17" w:rsidR="005D314E" w:rsidRPr="00576C3D" w:rsidRDefault="005D314E" w:rsidP="00576C3D">
      <w:r w:rsidRPr="00576C3D">
        <w:t>Ansvarlig myndighet kan etter CBAM-forordningen artikkel 19 nr. 2 kontrollere CBAM-erklæringer, og skal etter artikkel 19 nr. 5 fatte vedtak dersom en autorisert CBAM-</w:t>
      </w:r>
      <w:proofErr w:type="spellStart"/>
      <w:r w:rsidRPr="00576C3D">
        <w:t>deklarant</w:t>
      </w:r>
      <w:proofErr w:type="spellEnd"/>
      <w:r w:rsidRPr="00576C3D">
        <w:t xml:space="preserve"> ikke har levert tilstrekkelig antall CBAM-sertifikater. Ansvarlig myndighet vil motta informasjon og foreløpige beregninger av ny CBAM-forpliktelse fra Kommisjonen. For å sikre at saken er tilstrekkelig opplyst før vedtak treffes kan det være behov å gi pålegg om opplysninger til aktører som har en forbindelse til importen av de aktuelle varene. Det samme er tilfellet for overvåking av den nedre importgrensen. Kommisjonen vil varsle ansvarlig myndighet når de mener importgrensen er overskredet, men det er ansvarlig myndighet som fatter vedtak, jf. CBAM-forordningen artikkel 25a. Det er derfor</w:t>
      </w:r>
      <w:r w:rsidR="00576C3D">
        <w:t xml:space="preserve"> </w:t>
      </w:r>
      <w:r w:rsidRPr="00576C3D">
        <w:t>riktig at ansvarlig myndighet får mulighet til å gi pålegg om opplysninger som er nødvendige i forbindelse med kontroll av den nedre importgrensen. Artikkel 25a gir noe kompetanse til ansvarlig myndighet til å kreve utfyllende dokumentasjon fra importør, men departementet vurderer at dette ikke er tilstrekkelig til å utføre sine oppgaver slik artikkel 11 nr. 1 i CBAM-forordningen krever.</w:t>
      </w:r>
    </w:p>
    <w:p w14:paraId="22773825" w14:textId="77777777" w:rsidR="005D314E" w:rsidRPr="00576C3D" w:rsidRDefault="005D314E" w:rsidP="00576C3D">
      <w:r w:rsidRPr="00576C3D">
        <w:t>Departementet vurderer at ansvarlig myndighet må ha hjemmel til å innhente opplysninger ikke bare fra importøren, men også fra indirekte representanter og representanter som nevnt i CBAM-forordningen artikkel 5 nr. 7a, og andre tredjeparter som kan ha relevant informasjon om varene, herunder kontraktsparter og medhjelpere.</w:t>
      </w:r>
    </w:p>
    <w:p w14:paraId="52B1BB2E" w14:textId="77777777" w:rsidR="005D314E" w:rsidRPr="00576C3D" w:rsidRDefault="005D314E" w:rsidP="00576C3D">
      <w:r w:rsidRPr="00576C3D">
        <w:t>I likhet med første og annet ledd, kan opplysninger etter tredje ledd kun innhentes dersom det er nødvendig. Nødvendige opplysninger vil omfatte informasjon om varene som er importert, antall sertifikater som er levert og utslippsdata knyttet til varene, men er ikke begrenset til dette. Det kan imidlertid kun bes om opplysninger som er egnet til å belyse forhold som omfattes av artikkel 19 og 25a, f.eks. opplysninger av betydning for omfanget av CBAM-forpliktelsen eller en aktørs importerte menger CBAM-varer, herunder adferd i forbindelse med import som har til formål å unndra seg CBAM-forpliktelsen.</w:t>
      </w:r>
    </w:p>
    <w:p w14:paraId="0766C874" w14:textId="77777777" w:rsidR="005D314E" w:rsidRPr="00576C3D" w:rsidRDefault="005D314E" w:rsidP="00576C3D">
      <w:r w:rsidRPr="00576C3D">
        <w:t xml:space="preserve">Forvaltningsloven § 13 bokstav f andre ledd fastslår at regler om opplysningsplikt ikke opphever lovbestemt taushetsplikt med mindre bestemmelsen fastsetter eller klart forutsetter at taushetsplikten ikke skal gjelde. Det foreslås derfor en regel i § 5 </w:t>
      </w:r>
      <w:r w:rsidRPr="00576C3D">
        <w:rPr>
          <w:rStyle w:val="kursiv"/>
        </w:rPr>
        <w:t>fjerde ledd</w:t>
      </w:r>
      <w:r w:rsidRPr="00576C3D">
        <w:t xml:space="preserve"> om at lovbestemt taushetsplikt ikke er til hinder for innhenting av de opplysningene som er nevnt i bestemmelsen.</w:t>
      </w:r>
    </w:p>
    <w:p w14:paraId="0D24BD78" w14:textId="77777777" w:rsidR="005D314E" w:rsidRPr="00576C3D" w:rsidRDefault="005D314E" w:rsidP="00576C3D">
      <w:r w:rsidRPr="00576C3D">
        <w:t>Forvaltningslovens generelle saksbehandlingsregler for pålegg om opplysninger i forvaltningsloven § 14 og ny forvaltningslov § 19 supplerer bestemmelsen.</w:t>
      </w:r>
    </w:p>
    <w:p w14:paraId="55856854" w14:textId="77777777" w:rsidR="005D314E" w:rsidRPr="00576C3D" w:rsidRDefault="005D314E" w:rsidP="00576C3D">
      <w:pPr>
        <w:pStyle w:val="Overskrift2"/>
      </w:pPr>
      <w:r w:rsidRPr="00576C3D">
        <w:t>Tvangsmulkt i § 6</w:t>
      </w:r>
    </w:p>
    <w:p w14:paraId="7A004025" w14:textId="77777777" w:rsidR="005D314E" w:rsidRPr="00576C3D" w:rsidRDefault="005D314E" w:rsidP="00576C3D">
      <w:pPr>
        <w:pStyle w:val="Overskrift3"/>
      </w:pPr>
      <w:r w:rsidRPr="00576C3D">
        <w:t>Forslaget i høringsnotatet</w:t>
      </w:r>
    </w:p>
    <w:p w14:paraId="76A9BF47" w14:textId="77777777" w:rsidR="005D314E" w:rsidRPr="00576C3D" w:rsidRDefault="005D314E" w:rsidP="00576C3D">
      <w:r w:rsidRPr="00576C3D">
        <w:t>Departementet foreslo å innføre en hjemmel i loven til å vedta tvangsmulkt i § 6, i samsvar med forvaltningsloven § 51. Tvangsmulkt ble vurdert som et effektivt virkemiddel for å sikre etterlevelse av CBAM-forordningen. Bestemmelsen er utformet slik at den kan brukes til å skape oppfyllelsespress ved alle brudd på regelverket som avdekkes av ansvarlig myndighet.</w:t>
      </w:r>
    </w:p>
    <w:p w14:paraId="691C001A" w14:textId="77777777" w:rsidR="005D314E" w:rsidRPr="00576C3D" w:rsidRDefault="005D314E" w:rsidP="00576C3D">
      <w:r w:rsidRPr="00576C3D">
        <w:t>Et eksempel som ble fremhevet i høringsnotatet, er når en CBAM-</w:t>
      </w:r>
      <w:proofErr w:type="spellStart"/>
      <w:r w:rsidRPr="00576C3D">
        <w:t>deklarant</w:t>
      </w:r>
      <w:proofErr w:type="spellEnd"/>
      <w:r w:rsidRPr="00576C3D">
        <w:t xml:space="preserve"> ikke har levert tilstrekkelig antall CBAM-sertifikater. I slike tilfeller skal ansvarlig myndighet ilegge et overtredelsesgebyr etter CBAM-loven § 7, men dette gebyret sanksjonerer kun bruddet og fritar ikke for plikten til å levere sertifikatene, jf. CBAM-forordningen artikkel 26 nr. 5. Et vedtak om tvangsmulkt som løper frem til oppfyllelse kan derfor være et effektivt tiltak for å sikre at plikten til å levere sertifikater faktisk oppfylles.</w:t>
      </w:r>
    </w:p>
    <w:p w14:paraId="723CC247" w14:textId="77777777" w:rsidR="005D314E" w:rsidRPr="00576C3D" w:rsidRDefault="005D314E" w:rsidP="00576C3D">
      <w:r w:rsidRPr="00576C3D">
        <w:t>Tvangsmulkt skulle etter forslaget fastsettes i enkeltvedtak og kunne ilegges som løpende mulkt eller per overtredelse. Den skulle ikke påløpe dersom etterlevelse var umulig uten skyld hos den ansvarlige.</w:t>
      </w:r>
    </w:p>
    <w:p w14:paraId="1FF62005" w14:textId="77777777" w:rsidR="005D314E" w:rsidRPr="00576C3D" w:rsidRDefault="005D314E" w:rsidP="00576C3D">
      <w:pPr>
        <w:pStyle w:val="Overskrift3"/>
      </w:pPr>
      <w:r w:rsidRPr="00576C3D">
        <w:t>Høringsinnspill</w:t>
      </w:r>
    </w:p>
    <w:p w14:paraId="40372DF8" w14:textId="77777777" w:rsidR="005D314E" w:rsidRPr="00576C3D" w:rsidRDefault="005D314E" w:rsidP="00576C3D">
      <w:r w:rsidRPr="00576C3D">
        <w:t>Det er ikke innkommet høringsinnspill knyttet til lovforslaget § 6.</w:t>
      </w:r>
    </w:p>
    <w:p w14:paraId="1FEB47E1" w14:textId="77777777" w:rsidR="005D314E" w:rsidRPr="00576C3D" w:rsidRDefault="005D314E" w:rsidP="00576C3D">
      <w:pPr>
        <w:pStyle w:val="Overskrift3"/>
      </w:pPr>
      <w:r w:rsidRPr="00576C3D">
        <w:t>Departementets vurdering</w:t>
      </w:r>
    </w:p>
    <w:p w14:paraId="203152D7" w14:textId="77777777" w:rsidR="005D314E" w:rsidRPr="00576C3D" w:rsidRDefault="005D314E" w:rsidP="00576C3D">
      <w:r w:rsidRPr="00576C3D">
        <w:t>Departementet opprettholder forslaget fra høringsnotatet med noen språklige endringer i ordlyden.</w:t>
      </w:r>
    </w:p>
    <w:p w14:paraId="1F43BC41" w14:textId="77777777" w:rsidR="005D314E" w:rsidRPr="00576C3D" w:rsidRDefault="005D314E" w:rsidP="00576C3D">
      <w:r w:rsidRPr="00576C3D">
        <w:t>Tvangsmulkt er et enkeltvedtak som innebærer en trussel om plikt til å betale et beløp til staten dersom pålagte plikter ikke oppfylles. Formålet er å gi den ansvarlige et økonomisk insentiv til å etterleve krav som følger av lov, forskrift eller individuelle vedtak. Tvangsmulkten har oppnådd sitt formål dersom den ansvarlige innretter seg slik at betaling unngås. Dette skiller tvangsmulkt fra straff og administrative sanksjoner, som for eksempel overtredelsesgebyr, som ilegges i etterkant av en overtredelse.</w:t>
      </w:r>
    </w:p>
    <w:p w14:paraId="0499BB4B" w14:textId="77777777" w:rsidR="005D314E" w:rsidRPr="00576C3D" w:rsidRDefault="005D314E" w:rsidP="00576C3D">
      <w:r w:rsidRPr="00576C3D">
        <w:t>Departementet vurderer tvangsmulkt som et effektivt og forholdsmessig virkemiddel for å sikre etterlevelse av CBAM-loven. Ileggelse av tvangsmulkt gir nødvendig oppfyllelsespress ved brudd på regelverket, samtidig som det ikke er et særlig inngripende tiltak. Miljødirektoratets erfaring tilsier at tvangsmulkt er effektivt. Direktoratet varsler årlig et høyt antall tvangsmulkter, som sjelden går til vedtak eller inndrivelse fordi forholdet rettes etter varsel. Tiltaket anses ikke særlig inngripende fordi den ansvarlige kan unngå at tvangsmulkten påløper ved å oppfylle sine lovpålagte plikter.</w:t>
      </w:r>
    </w:p>
    <w:p w14:paraId="18B2F022" w14:textId="77777777" w:rsidR="005D314E" w:rsidRPr="00576C3D" w:rsidRDefault="005D314E" w:rsidP="00576C3D">
      <w:r w:rsidRPr="00576C3D">
        <w:t>Tvangsmulkt er et egnet tiltak dersom en CBAM-</w:t>
      </w:r>
      <w:proofErr w:type="spellStart"/>
      <w:r w:rsidRPr="00576C3D">
        <w:t>deklarant</w:t>
      </w:r>
      <w:proofErr w:type="spellEnd"/>
      <w:r w:rsidRPr="00576C3D">
        <w:t xml:space="preserve"> som har fått overtredelsesgebyr etter lovforslaget § 7 fortsatt ikke leverer tilstrekkelig antall CBAM-sertifikater. Overtredelsesgebyret sanksjonerer kun bruddet og fritar ikke fra plikten til å levere sertifikatene. Et annet konkret eksempel er når CBAM-</w:t>
      </w:r>
      <w:proofErr w:type="spellStart"/>
      <w:r w:rsidRPr="00576C3D">
        <w:t>deklaranten</w:t>
      </w:r>
      <w:proofErr w:type="spellEnd"/>
      <w:r w:rsidRPr="00576C3D">
        <w:t xml:space="preserve"> ikke etterkommer vedtak om å anskaffe flere CBAM-sertifikater for å oppfylle den </w:t>
      </w:r>
      <w:proofErr w:type="spellStart"/>
      <w:r w:rsidRPr="00576C3D">
        <w:t>kvartalsvise</w:t>
      </w:r>
      <w:proofErr w:type="spellEnd"/>
      <w:r w:rsidRPr="00576C3D">
        <w:t xml:space="preserve"> forpliktelsen om å ha sertifikater som dekker 50 pst. av årets import på kontoen i CBAM-registeret, jf. CBAM-forordningen artikkel 22 nr. 3. Tvangsmulkt kan også brukes for manglende etterlevelse av opplysningsplikten i CBAM-loven § 5.</w:t>
      </w:r>
    </w:p>
    <w:p w14:paraId="23B3118F" w14:textId="77777777" w:rsidR="005D314E" w:rsidRPr="00576C3D" w:rsidRDefault="005D314E" w:rsidP="00576C3D">
      <w:r w:rsidRPr="00576C3D">
        <w:t>Lovforslaget § 6 om tvangsmulkt vil suppleres av forvaltningsloven § 51. Tvangsmulkt skal fastsettes i enkeltvedtak, jf. § 51 første ledd. Den kan fastsettes som en løpende mulkt eller som et beløp som forfaller ved hver overtredelse, jf. § 51 andre ledd første punktum. Tvangsmulkt påløper ikke dersom etterlevelse blir umulig, og årsaken ikke ligger hos den ansvarlige, jf. § 51 andre ledd andre punktum. Frist for betaling av påløpt tvangsmulkt fastsettes i vedtak om innkreving. Renter vil begynne å løpe dersom fristen oversittes.</w:t>
      </w:r>
    </w:p>
    <w:p w14:paraId="27B5602F" w14:textId="77777777" w:rsidR="005D314E" w:rsidRPr="00576C3D" w:rsidRDefault="005D314E" w:rsidP="00576C3D">
      <w:pPr>
        <w:pStyle w:val="Overskrift2"/>
      </w:pPr>
      <w:r w:rsidRPr="00576C3D">
        <w:t>Overtredelsesgebyr i § 7</w:t>
      </w:r>
    </w:p>
    <w:p w14:paraId="7437BE9E" w14:textId="77777777" w:rsidR="005D314E" w:rsidRPr="00576C3D" w:rsidRDefault="005D314E" w:rsidP="00576C3D">
      <w:pPr>
        <w:pStyle w:val="Overskrift3"/>
      </w:pPr>
      <w:r w:rsidRPr="00576C3D">
        <w:t>Forslaget i høringsnotatet</w:t>
      </w:r>
    </w:p>
    <w:p w14:paraId="1998A18C" w14:textId="77777777" w:rsidR="005D314E" w:rsidRPr="00576C3D" w:rsidRDefault="005D314E" w:rsidP="00576C3D">
      <w:r w:rsidRPr="00576C3D">
        <w:t>I høringsnotatet vurderte departementet at sanksjonen i CBAM-forordningen artikkel 26 nr. 1 og nr. 2 er å anse som overtredelsesgebyr i norsk rett, jf. forvaltningsloven § 43 andre ledd. For å sikre en tilstrekkelig klar lovhjemmel til å ilegge overtredelsesgebyrene som følger av artikkel 26, ble det i lovforslaget § 7 første ledd foreslått en hjemmel for å ilegge overtredelsesgebyr til den ansvarlige, herunder foretak, etter reglene i CBAM-forordningen artikkel 26.</w:t>
      </w:r>
    </w:p>
    <w:p w14:paraId="0F7A2BF0" w14:textId="77777777" w:rsidR="005D314E" w:rsidRPr="00576C3D" w:rsidRDefault="005D314E" w:rsidP="00576C3D">
      <w:r w:rsidRPr="00576C3D">
        <w:t>Det ble også foreslått en hjemmel i § 7 annet ledd til å gjøre unntak fra det alminnelige skyldkravet for administrative foretakssanksjoner, jf. forvaltningsloven § 46 første ledd. Det objektive ansvaret ble imidlertid avgrenset til å gjelde tilfeller hvor en CBAM-</w:t>
      </w:r>
      <w:proofErr w:type="spellStart"/>
      <w:r w:rsidRPr="00576C3D">
        <w:t>deklarant</w:t>
      </w:r>
      <w:proofErr w:type="spellEnd"/>
      <w:r w:rsidRPr="00576C3D">
        <w:t xml:space="preserve"> bryter forpliktelsen til å levere et tilstrekkelig antall sertifikater etter CBAM-forordningen artikkel 26 nr. 1.</w:t>
      </w:r>
    </w:p>
    <w:p w14:paraId="5CF452E1" w14:textId="77777777" w:rsidR="005D314E" w:rsidRPr="00576C3D" w:rsidRDefault="005D314E" w:rsidP="00576C3D">
      <w:r w:rsidRPr="00576C3D">
        <w:t xml:space="preserve">Departementet foreslo videre å fastsette særskilte regler om foreldelse for ileggelse av overtredelsesgebyr etter CBAM-forordningen, ettersom artikkel 26 ikke regulerer dette. Utgangspunktet er at foreldelse av krav som følge av vedtak om administrativ foretakssanksjon normalt følger foreldelsesloven, men </w:t>
      </w:r>
      <w:proofErr w:type="spellStart"/>
      <w:r w:rsidRPr="00576C3D">
        <w:t>Prop</w:t>
      </w:r>
      <w:proofErr w:type="spellEnd"/>
      <w:r w:rsidRPr="00576C3D">
        <w:t>. 81 L (2021–2022) om endringer i forvaltningsloven legger til grunn at slike spørsmål bør reguleres særskilt i den aktuelle særlovgivningen.</w:t>
      </w:r>
    </w:p>
    <w:p w14:paraId="241C6086" w14:textId="77777777" w:rsidR="005D314E" w:rsidRPr="00576C3D" w:rsidRDefault="005D314E" w:rsidP="00576C3D">
      <w:r w:rsidRPr="00576C3D">
        <w:t>Departementet foreslo en foreldelsesfrist på fem år for overtredelser av plikten til å levere CBAM-sertifikater, jf. artikkel 26 nr. 1. Fristen skulle løpe fra 30. september det året leveringsfristen utløper, ettersom overtredelsen opphører på dette tidspunktet. Forslaget ble begrunnet med at Kommisjonen kan kontrollere oppfyllelse i inntil fire år etter fristens utløp, jf. artikkel 19 nr. 4, og norske myndigheter må ha tilstrekkelig tid til å følge opp brudd som oppdages sent, herunder sende forhåndsvarsel og fatte vedtak om gebyr, for å ivareta de folkerettslige forpliktelsene.</w:t>
      </w:r>
    </w:p>
    <w:p w14:paraId="6FAFC5E6" w14:textId="77777777" w:rsidR="005D314E" w:rsidRPr="00576C3D" w:rsidRDefault="005D314E" w:rsidP="00576C3D">
      <w:r w:rsidRPr="00576C3D">
        <w:t xml:space="preserve">For overtredelser etter artikkel 26 nr. 2 ble det foreslått en foreldelsesfrist på to år etter at overtredelsen har opphørt. Dette samsvarer med tilsvarende regler i annen lovgivning, slik som forurensningsloven § 80 fjerde ledd, bærekraftige produkter-loven § 2 tredje ledd og </w:t>
      </w:r>
      <w:proofErr w:type="spellStart"/>
      <w:r w:rsidRPr="00576C3D">
        <w:t>produktkontrolloven</w:t>
      </w:r>
      <w:proofErr w:type="spellEnd"/>
      <w:r w:rsidRPr="00576C3D">
        <w:t xml:space="preserve"> § 12 bokstav a fjerde ledd.</w:t>
      </w:r>
    </w:p>
    <w:p w14:paraId="454804DC" w14:textId="77777777" w:rsidR="005D314E" w:rsidRPr="00576C3D" w:rsidRDefault="005D314E" w:rsidP="00576C3D">
      <w:r w:rsidRPr="00576C3D">
        <w:t>Departementet foreslo også å presisere at foreldelsesfristen avbrytes når tilsynsmyndigheten gir forhåndsvarsel eller fatter vedtak om overtredelsesgebyr. Overtredelsesgebyr forfaller til betaling fire uker etter at vedtaket er truffet, med adgang til å fastsette en lengre frist i vedtaket eller senere, jf. forvaltningsloven § 44 femte ledd.</w:t>
      </w:r>
    </w:p>
    <w:p w14:paraId="76EF52F2" w14:textId="77777777" w:rsidR="005D314E" w:rsidRPr="00576C3D" w:rsidRDefault="005D314E" w:rsidP="00576C3D">
      <w:pPr>
        <w:pStyle w:val="Overskrift3"/>
      </w:pPr>
      <w:r w:rsidRPr="00576C3D">
        <w:t>Høringsinnspill</w:t>
      </w:r>
    </w:p>
    <w:p w14:paraId="564E04C0" w14:textId="77777777" w:rsidR="005D314E" w:rsidRPr="00576C3D" w:rsidRDefault="005D314E" w:rsidP="00576C3D">
      <w:r w:rsidRPr="00576C3D">
        <w:rPr>
          <w:rStyle w:val="kursiv"/>
        </w:rPr>
        <w:t>Posten Bring AS</w:t>
      </w:r>
      <w:r w:rsidRPr="00576C3D">
        <w:t xml:space="preserve"> ber om at lovens bestemmelser om sanksjoner rettes mot den deklarasjonspliktige, og ikke mot speditør eller transportør.</w:t>
      </w:r>
    </w:p>
    <w:p w14:paraId="0A1916E4" w14:textId="77777777" w:rsidR="005D314E" w:rsidRPr="00576C3D" w:rsidRDefault="005D314E" w:rsidP="00576C3D">
      <w:pPr>
        <w:pStyle w:val="Overskrift3"/>
      </w:pPr>
      <w:r w:rsidRPr="00576C3D">
        <w:t>Departementets vurdering</w:t>
      </w:r>
    </w:p>
    <w:p w14:paraId="7F8FD3D5" w14:textId="77777777" w:rsidR="005D314E" w:rsidRPr="00576C3D" w:rsidRDefault="005D314E" w:rsidP="00576C3D">
      <w:r w:rsidRPr="00576C3D">
        <w:t>Departementet opprettholder bestemmelsen som ble foreslått i høringsnotatet, med enkelte justeringer. Departementet presiserer at det følger av CBAM-forordningen artikkel 26 at det kun er CBAM-</w:t>
      </w:r>
      <w:proofErr w:type="spellStart"/>
      <w:r w:rsidRPr="00576C3D">
        <w:t>deklaranten</w:t>
      </w:r>
      <w:proofErr w:type="spellEnd"/>
      <w:r w:rsidRPr="00576C3D">
        <w:t xml:space="preserve"> eller den som har påtatt seg ansvaret som CBAM-</w:t>
      </w:r>
      <w:proofErr w:type="spellStart"/>
      <w:r w:rsidRPr="00576C3D">
        <w:t>deklarant</w:t>
      </w:r>
      <w:proofErr w:type="spellEnd"/>
      <w:r w:rsidRPr="00576C3D">
        <w:t xml:space="preserve"> fra importøren som kan ilegges overtredelsesgebyr.</w:t>
      </w:r>
    </w:p>
    <w:p w14:paraId="4BBE9C9F" w14:textId="77777777" w:rsidR="005D314E" w:rsidRPr="00576C3D" w:rsidRDefault="005D314E" w:rsidP="00576C3D">
      <w:r w:rsidRPr="00576C3D">
        <w:t xml:space="preserve">Første ledd foreslås uendret. Andre ledd endres slik at det tydelig </w:t>
      </w:r>
      <w:proofErr w:type="gramStart"/>
      <w:r w:rsidRPr="00576C3D">
        <w:t>fremgår</w:t>
      </w:r>
      <w:proofErr w:type="gramEnd"/>
      <w:r w:rsidRPr="00576C3D">
        <w:t xml:space="preserve"> at overtredelsesgebyr kan ilegges uavhengig av skyld ved brudd på artikkel 26 nr. 1, nr. 2 og nr. 2a. Endringen begrunnes med at artikkel 26 må forstås slik at gebyr skal ilegges når overtredelsen er konstatert, uavhengig av skyld. Dette innebærer for eksempel at en CBAM-</w:t>
      </w:r>
      <w:proofErr w:type="spellStart"/>
      <w:r w:rsidRPr="00576C3D">
        <w:t>deklarant</w:t>
      </w:r>
      <w:proofErr w:type="spellEnd"/>
      <w:r w:rsidRPr="00576C3D">
        <w:t xml:space="preserve"> som leverer feil antall CBAM-sertifikater, selv om feilen skyldes uriktige utslippsdata fra produsent i tredjeland, likevel ilegges gebyr, jf. artikkel 26 nr. 1. Tilsvarende gjelder dersom en aktør importerer CBAM-varer over terskelverdien uten autorisasjon, er i god tro om at varene ikke omfattes av CBAM, jf. artikkel 26 nr. 2.</w:t>
      </w:r>
    </w:p>
    <w:p w14:paraId="6A8B5E8B" w14:textId="77777777" w:rsidR="005D314E" w:rsidRPr="00576C3D" w:rsidRDefault="005D314E" w:rsidP="00576C3D">
      <w:r w:rsidRPr="00576C3D">
        <w:t xml:space="preserve">Departementet bemerker at endringsforordningen om forenklinger gir en ny regel om overtredelsesgebyr i artikkel 26 nr. 2a for importører som overtrer terskelverdien. Også i tilfeller etter artikkel 26 nr. 2a skal det ilegges gebyr når overtredelse er konstatert, uavhengig av skyld. Det innebærer for eksempel dersom en aktør importerer CBAM-varer ut over terskelverdien uten å være autorisert, i den tro om å være innenfor terskelverdien. Bestemmelser om nærmest objektivt ansvar ved ileggelse av overtredelsesgebyr må være i samsvar med kravene til forholdsmessighet etter Den europeiske menneskerettskonvensjonen (EMK), jf. omtalen av skyldkravet for administrative foretakssanksjoner i </w:t>
      </w:r>
      <w:proofErr w:type="spellStart"/>
      <w:r w:rsidRPr="00576C3D">
        <w:rPr>
          <w:rStyle w:val="kursiv"/>
        </w:rPr>
        <w:t>Prop</w:t>
      </w:r>
      <w:proofErr w:type="spellEnd"/>
      <w:r w:rsidRPr="00576C3D">
        <w:rPr>
          <w:rStyle w:val="kursiv"/>
        </w:rPr>
        <w:t xml:space="preserve">. 81 L (2021–2022) Endringer i forvaltningsloven (skyldkrav ved administrativ foretakssanksjon og habilitetsreglenes </w:t>
      </w:r>
      <w:proofErr w:type="gramStart"/>
      <w:r w:rsidRPr="00576C3D">
        <w:rPr>
          <w:rStyle w:val="kursiv"/>
        </w:rPr>
        <w:t>anvendelse</w:t>
      </w:r>
      <w:proofErr w:type="gramEnd"/>
      <w:r w:rsidRPr="00576C3D">
        <w:rPr>
          <w:rStyle w:val="kursiv"/>
        </w:rPr>
        <w:t xml:space="preserve"> for statsråder)</w:t>
      </w:r>
      <w:r w:rsidRPr="00576C3D">
        <w:t xml:space="preserve"> punkt 7.4. </w:t>
      </w:r>
    </w:p>
    <w:p w14:paraId="7FB6F214" w14:textId="77777777" w:rsidR="005D314E" w:rsidRPr="00576C3D" w:rsidRDefault="005D314E" w:rsidP="00576C3D">
      <w:r w:rsidRPr="00576C3D">
        <w:t>Selv om det gjelder et objektivt ansvar for reglene i CBAM-forordningen artikkel 26, så følger det av EU-domstolens praksis at en aktør likevel ikke kan ilegges et gebyr dersom manglende oppfyllelse skyldes force majeure, se blant annet sak C-203/12 Billerud. Ansvaret vil dermed i praksis ikke være rent objektivt. Departementet bemerker at den konkrete vurderingen av myndighetenes adgang til å ilegge overtredelsesgebyr i det enkelte tilfellet må vurderes opp mot EMK. I praktiseringen av artikkel 26 vil det derfor være viktig å følge med på utviklingen i praksis fra Den europeisk menneskerettighetsdomstol.</w:t>
      </w:r>
    </w:p>
    <w:p w14:paraId="2871E593" w14:textId="77777777" w:rsidR="005D314E" w:rsidRPr="00576C3D" w:rsidRDefault="005D314E" w:rsidP="00576C3D">
      <w:r w:rsidRPr="00576C3D">
        <w:t>I artikkel 26 nr. 4 er det stilt nærmere krav til ansvarlig myndighet og gitt særlige saksbehandlingsregler ved ileggelse av overtredelsesgebyr, herunder klageretten. Departementet vurderer at disse reglene harmonerer med tilsvarende regler i forvaltningsloven. Disse saksbehandlingsreglene må imidlertid suppleres av saksbehandlingsreglene i forvaltningsloven, herunder forvaltningsloven § 16 om forhåndsvarsel, jf. ny forvaltningslov § 42.</w:t>
      </w:r>
    </w:p>
    <w:p w14:paraId="3480F911" w14:textId="77777777" w:rsidR="005D314E" w:rsidRPr="00576C3D" w:rsidRDefault="005D314E" w:rsidP="00576C3D">
      <w:pPr>
        <w:pStyle w:val="Overskrift2"/>
      </w:pPr>
      <w:r w:rsidRPr="00576C3D">
        <w:t>Innkreving § 8</w:t>
      </w:r>
    </w:p>
    <w:p w14:paraId="52DFD1A6" w14:textId="77777777" w:rsidR="005D314E" w:rsidRPr="00576C3D" w:rsidRDefault="005D314E" w:rsidP="00576C3D">
      <w:pPr>
        <w:pStyle w:val="Overskrift3"/>
      </w:pPr>
      <w:r w:rsidRPr="00576C3D">
        <w:t>Forslaget i høringsnotatet</w:t>
      </w:r>
    </w:p>
    <w:p w14:paraId="6F7AAA4A" w14:textId="77777777" w:rsidR="005D314E" w:rsidRPr="00576C3D" w:rsidRDefault="005D314E" w:rsidP="00576C3D">
      <w:r w:rsidRPr="00576C3D">
        <w:t>I høringsnotatet foreslo departementet at innkrevingsmyndigheten under Skatteetaten skal innkreve krav som oppstår etter CBAM-loven og at innkrevingen skal følge lov om innkreving av statlige krav mv. (innkrevingsloven) som trådte i kraft 1. januar 2026.</w:t>
      </w:r>
    </w:p>
    <w:p w14:paraId="4FE3C2AE" w14:textId="77777777" w:rsidR="005D314E" w:rsidRPr="00576C3D" w:rsidRDefault="005D314E" w:rsidP="00576C3D">
      <w:pPr>
        <w:pStyle w:val="Overskrift3"/>
      </w:pPr>
      <w:r w:rsidRPr="00576C3D">
        <w:t>Høringsinnspill</w:t>
      </w:r>
    </w:p>
    <w:p w14:paraId="6FB07954" w14:textId="77777777" w:rsidR="005D314E" w:rsidRPr="00576C3D" w:rsidRDefault="005D314E" w:rsidP="00576C3D">
      <w:r w:rsidRPr="00576C3D">
        <w:t>Det er ikke innkommet høringsinnspill til lovforslaget.</w:t>
      </w:r>
    </w:p>
    <w:p w14:paraId="602B8FD6" w14:textId="77777777" w:rsidR="005D314E" w:rsidRPr="00576C3D" w:rsidRDefault="005D314E" w:rsidP="00576C3D">
      <w:pPr>
        <w:pStyle w:val="Overskrift3"/>
      </w:pPr>
      <w:r w:rsidRPr="00576C3D">
        <w:t>Departementets vurdering</w:t>
      </w:r>
    </w:p>
    <w:p w14:paraId="0239FC8E" w14:textId="77777777" w:rsidR="005D314E" w:rsidRPr="00576C3D" w:rsidRDefault="005D314E" w:rsidP="00576C3D">
      <w:r w:rsidRPr="00576C3D">
        <w:t>Departementet opprettholder forslaget fra høringsnotatet om at innkreving av krav etter CBAM-loven skal skje i samsvar med reglene i den nye innkrevingsloven. Dette omfatter krav om betaling av påløpt tvangsmulkt etter § 6 og overtredelsesgebyr etter § 7. I lovforslaget til § 8 er det tatt inn en bestemmelse om at forsinkelsesrenter løper fra forfall.</w:t>
      </w:r>
    </w:p>
    <w:p w14:paraId="059A9813" w14:textId="1DACE924" w:rsidR="005D314E" w:rsidRPr="00576C3D" w:rsidRDefault="005D314E" w:rsidP="00576C3D">
      <w:pPr>
        <w:pStyle w:val="Overskrift1"/>
      </w:pPr>
      <w:r w:rsidRPr="00576C3D">
        <w:t>Samtykke til deltakelse i en beslutning i EØS-komiteen om innlemmelse i EØS-avtalen av forordning (EU) 2023/956 (CBAM-forordningen) og forordning (EU) 2025/2083 (endringer i CBAM-forordningen)</w:t>
      </w:r>
    </w:p>
    <w:p w14:paraId="16C8C522" w14:textId="77777777" w:rsidR="005D314E" w:rsidRPr="00576C3D" w:rsidRDefault="005D314E" w:rsidP="00576C3D">
      <w:pPr>
        <w:pStyle w:val="Overskrift2"/>
      </w:pPr>
      <w:r w:rsidRPr="00576C3D">
        <w:t>Innledning</w:t>
      </w:r>
    </w:p>
    <w:p w14:paraId="2F3F649D" w14:textId="5AB45277" w:rsidR="005D314E" w:rsidRPr="00576C3D" w:rsidRDefault="005D314E" w:rsidP="00576C3D">
      <w:r w:rsidRPr="00576C3D">
        <w:t>I punkt 2.1 og 2.2 er det redegjort for det nærmere</w:t>
      </w:r>
      <w:r w:rsidR="00576C3D">
        <w:t xml:space="preserve"> </w:t>
      </w:r>
      <w:r w:rsidRPr="00576C3D">
        <w:t>innholdet i forordning (EU) 2023/956 som endret ved forordning (EU) 2025/2083 (heretter «CBAM-forordningen»). Vedlagt proposisjonen følger utkast til en EØS-komitébeslutning om innlemmelse i EØS-avtalen av forordning (EU) 2023/956 og forordning (EU) 2025/2083. Utkastet er utarbeidet av EØS/EFTA-statene. På det tidspunktet proposisjonen fremmes til Stortinget, foreligger det ikke et endelig utkast til behandling i EUs organer. Departementet vurderer likevel at utkastet er tilnærmet ferdig utarbeidet, og at det kun gjenstår tekniske detaljer før det sendes til behandling i EUs organer. For å legge til rette for at Norge kan innføre CBAM fullt ut fra 2027, legges det opp til at Stortingets samtykke innhentes før beslutningen er fattet i EØS-komiteen. Det er ikke ventet at det vil komme endringer av betydning sammenlignet med det nåværende utkastet. Dersom den endelige beslutningen skulle avvike vesentlig fra utkastet som er lagt frem i denne proposisjonen, vil saken bli fremlagt for Stortinget på nytt.</w:t>
      </w:r>
    </w:p>
    <w:p w14:paraId="2E039944" w14:textId="77777777" w:rsidR="005D314E" w:rsidRPr="00576C3D" w:rsidRDefault="005D314E" w:rsidP="00576C3D">
      <w:r w:rsidRPr="00576C3D">
        <w:t>Utkastet inneholder syv fortalepunkter og fire artikler.</w:t>
      </w:r>
    </w:p>
    <w:p w14:paraId="5B1B86B4" w14:textId="08872223" w:rsidR="005D314E" w:rsidRPr="00576C3D" w:rsidRDefault="005D314E" w:rsidP="00576C3D">
      <w:r w:rsidRPr="00576C3D">
        <w:t>Fortalepunkt 3 viser til at EUs ikke-</w:t>
      </w:r>
      <w:proofErr w:type="spellStart"/>
      <w:r w:rsidRPr="00576C3D">
        <w:t>preferensielle</w:t>
      </w:r>
      <w:proofErr w:type="spellEnd"/>
      <w:r w:rsidRPr="00576C3D">
        <w:t xml:space="preserve"> opprinnelsesregler ikke er en del av EØS-avtalen, men at EØS/EFTA-statene skal gjennomføre tilsvarende ikke-</w:t>
      </w:r>
      <w:proofErr w:type="spellStart"/>
      <w:r w:rsidRPr="00576C3D">
        <w:t>preferensielle</w:t>
      </w:r>
      <w:proofErr w:type="spellEnd"/>
      <w:r w:rsidRPr="00576C3D">
        <w:t xml:space="preserve"> opprinnelsesregler i nasjonal rett for å sikre like opprinnelsesregler for å avgjøre opprinnelsen til varer som omfattes av forpliktelsene i CBAM-forordningen. Fortalepunkt 3 viser videre at varekategorier som er oppført i tabellen i vedlegg I til CBAM-forordningen er klassifisert ved bruk av EUs koder i den kombinerte nomenklaturen. Disse er regulert i (EØF) nr. 2658/87.</w:t>
      </w:r>
      <w:r w:rsidR="00576C3D">
        <w:t xml:space="preserve"> </w:t>
      </w:r>
      <w:r w:rsidRPr="00576C3D">
        <w:t>Klassifiseringen av varer etter denne rettsakten er ikke en del av EØS-avtalen, men EØS/EFTA-statene skal gjennomføre tilsvarende klassifisering i nasjonal rett for å sikre likt virkeområde og enhetlig klassifisering av CBAM-varer på tvers av EØS.</w:t>
      </w:r>
    </w:p>
    <w:p w14:paraId="4A0B840A" w14:textId="77777777" w:rsidR="005D314E" w:rsidRPr="00576C3D" w:rsidRDefault="005D314E" w:rsidP="00576C3D">
      <w:r w:rsidRPr="00576C3D">
        <w:t>Fortalepunkt 4 viser at inntekter fra salg av CBAM-sertifikater til CBAM-</w:t>
      </w:r>
      <w:proofErr w:type="spellStart"/>
      <w:r w:rsidRPr="00576C3D">
        <w:t>deklaranter</w:t>
      </w:r>
      <w:proofErr w:type="spellEnd"/>
      <w:r w:rsidRPr="00576C3D">
        <w:t xml:space="preserve"> etablert i EØS/EFTA-statene, tilfaller EØS/EFTA-statene i sin helhet.</w:t>
      </w:r>
    </w:p>
    <w:p w14:paraId="36D5514B" w14:textId="77777777" w:rsidR="005D314E" w:rsidRPr="00576C3D" w:rsidRDefault="005D314E" w:rsidP="00576C3D">
      <w:r w:rsidRPr="00576C3D">
        <w:t>Fortalepunkt 5 viser at EU har samme plikt til å unngå forskjellsbehandling av EØS/EFTA-statene og deres aktører i avtaler EU inngår med tredjeland under CBAM-forordningen artikkel 2 nr. 6 som de har når EU inngår slike avtaler under EUs klimakvotedirektiv 2003/87/EF. Det er artikkel 25 i klimakvotedirektivet som er det juridiske grunnlaget for inngåelsen av slike avtaler også etter artikkel 2 nr. 6 i CBAM-forordningen. Fortalepunktet viser derfor til EØS-komitébeslutning nr. 146/2007 som innlemmet klimakvotedirektivet i EØS-avtalen med tilpasning til artikkel 25 og med fortalepunkt 17 om ikke-diskriminering.</w:t>
      </w:r>
    </w:p>
    <w:p w14:paraId="309C8609" w14:textId="77777777" w:rsidR="005D314E" w:rsidRPr="00576C3D" w:rsidRDefault="005D314E" w:rsidP="00576C3D">
      <w:r w:rsidRPr="00576C3D">
        <w:t>Artikkel 1 fastsetter at forordning (EU) 2023/956 som endret ved (EU) 2025/2083 tas inn i EØS-avtalens vedlegg XX. Artikkelen fastsetter videre en rekke tilpasninger som gjennomgås i punkt 6.2. Generelle tekniske tilpasninger og tilpasninger av mindre betydning omtales ikke.</w:t>
      </w:r>
    </w:p>
    <w:p w14:paraId="7FCECE4C" w14:textId="77777777" w:rsidR="005D314E" w:rsidRPr="00576C3D" w:rsidRDefault="005D314E" w:rsidP="00576C3D">
      <w:r w:rsidRPr="00576C3D">
        <w:t>Artikkel 2 fastslår at den islandske og norske språkversjonen av forordning (EU) 2023/956 og (EU) 2025/2083 gis gyldighet og kunngjøres i EØS-tillegget til Den europeiske unions tidende.</w:t>
      </w:r>
    </w:p>
    <w:p w14:paraId="3BCD414E" w14:textId="77777777" w:rsidR="005D314E" w:rsidRPr="00576C3D" w:rsidRDefault="005D314E" w:rsidP="00576C3D">
      <w:r w:rsidRPr="00576C3D">
        <w:t>Artikkel 3 regulerer når beslutningen trer i kraft.</w:t>
      </w:r>
    </w:p>
    <w:p w14:paraId="4C4F2560" w14:textId="77777777" w:rsidR="005D314E" w:rsidRPr="00576C3D" w:rsidRDefault="005D314E" w:rsidP="00576C3D">
      <w:r w:rsidRPr="00576C3D">
        <w:t>Artikkel 4 fastslår at beslutningen selv skal kunngjøres i EØS-avdelingen og i EØS-tillegget til Den europeiske unions tidende.</w:t>
      </w:r>
    </w:p>
    <w:p w14:paraId="1359BE20" w14:textId="77777777" w:rsidR="005D314E" w:rsidRPr="00576C3D" w:rsidRDefault="005D314E" w:rsidP="00576C3D">
      <w:r w:rsidRPr="00576C3D">
        <w:t xml:space="preserve">CBAM-forordningen artikkel 2 nr. 2 fastsetter at CBAM også gjelder for varer som føres til installasjoner i eksklusiv økonomisk sone og kontinentalsokkelen når disse områdene er tilstøtende til EUs tollområde. Det er vedlagt en erklæring til EØS-komitébeslutningen fremsatt av Norge og Island som presiserer at innlemmelse av rettsakter med et slikt ekstraordinært anvendelsesområde ikke berører forståelsen av at EØS-avtalen, i samsvar med artikkel 126, får </w:t>
      </w:r>
      <w:proofErr w:type="gramStart"/>
      <w:r w:rsidRPr="00576C3D">
        <w:t>anvendelse</w:t>
      </w:r>
      <w:proofErr w:type="gramEnd"/>
      <w:r w:rsidRPr="00576C3D">
        <w:t xml:space="preserve"> på EØS/EFTA-statenes territorium.</w:t>
      </w:r>
    </w:p>
    <w:p w14:paraId="74DF9AD4" w14:textId="77777777" w:rsidR="005D314E" w:rsidRPr="00576C3D" w:rsidRDefault="005D314E" w:rsidP="00576C3D">
      <w:r w:rsidRPr="00576C3D">
        <w:t xml:space="preserve">EFTA-domstolen avsa 19. februar 2026 en tolkningsuttalelse i sak </w:t>
      </w:r>
      <w:r w:rsidRPr="00576C3D">
        <w:rPr>
          <w:rStyle w:val="kursiv"/>
        </w:rPr>
        <w:t>E-6/25 Saga Subsea AS</w:t>
      </w:r>
      <w:r w:rsidRPr="00576C3D">
        <w:t>. Saken berører spørsmål om EØS-avtalens virkeområde, hvor domstolen blant annet la til grunn at artikkel 126 ikke var ment å avgrense EØS-avtalen til visse havområder. Uttalelsen er rådgivende, og saken behandles av Høyesterett.</w:t>
      </w:r>
    </w:p>
    <w:p w14:paraId="4143A29D" w14:textId="77777777" w:rsidR="005D314E" w:rsidRPr="00576C3D" w:rsidRDefault="005D314E" w:rsidP="00576C3D">
      <w:pPr>
        <w:pStyle w:val="Overskrift2"/>
      </w:pPr>
      <w:r w:rsidRPr="00576C3D">
        <w:t>Tilpasninger til forordningene</w:t>
      </w:r>
    </w:p>
    <w:p w14:paraId="5AC23494" w14:textId="77777777" w:rsidR="005D314E" w:rsidRPr="00576C3D" w:rsidRDefault="005D314E" w:rsidP="00576C3D">
      <w:pPr>
        <w:pStyle w:val="Overskrift3"/>
      </w:pPr>
      <w:r w:rsidRPr="00576C3D">
        <w:t>Generelt om tilpasninger</w:t>
      </w:r>
    </w:p>
    <w:p w14:paraId="6767FFE8" w14:textId="77777777" w:rsidR="005D314E" w:rsidRPr="00576C3D" w:rsidRDefault="005D314E" w:rsidP="00576C3D">
      <w:r w:rsidRPr="00576C3D">
        <w:t>Tilpasningene til CBAM-forordningen slik den skal gjelde etter EØS-avtalen, er nedfelt i artikkel 1 bokstav a til v i utkast til EØS-komiteens beslutning. Tilpasningene kan deles inn i følgende grupper: Tilpasninger som følge av at EU og EØS/EFTA-statene har egne tollområder og egne tollregelverk, tilpasninger for ivaretakelse av to-pilarstrukturen i EØS-avtalen, tilpasninger til artikler om felles anskaffelse om den felles salgsplattformen og tilpasninger som følge av at avtaler EU inngår med tredjeland ikke er en del av EØS-avtalen.</w:t>
      </w:r>
    </w:p>
    <w:p w14:paraId="1BD167F0" w14:textId="77777777" w:rsidR="005D314E" w:rsidRPr="00576C3D" w:rsidRDefault="005D314E" w:rsidP="00576C3D">
      <w:pPr>
        <w:pStyle w:val="Overskrift3"/>
      </w:pPr>
      <w:r w:rsidRPr="00576C3D">
        <w:t>Henvisninger til EUs tollunion og EUs tollkodeks (UCC)</w:t>
      </w:r>
    </w:p>
    <w:p w14:paraId="4B8D10F1" w14:textId="77777777" w:rsidR="005D314E" w:rsidRPr="00576C3D" w:rsidRDefault="005D314E" w:rsidP="00576C3D">
      <w:r w:rsidRPr="00576C3D">
        <w:t>CBAM-forordningen referer til EUs tollunion flere steder. Som følge av at EØS/EFTA-statene har egne tollområder er det foreslått tilpasninger slik at det heller refereres til de ulike tollområdene. I tillegg har CBAM-forordningen bestemmelser som viser til regler i EUs tollkodeks som ikke er en del av EØS-avtalen. De tilpasningene som er nødvendige som følge av dette kan deles inn i tre kategorier.</w:t>
      </w:r>
    </w:p>
    <w:p w14:paraId="7DCFD493" w14:textId="77777777" w:rsidR="005D314E" w:rsidRPr="00576C3D" w:rsidRDefault="005D314E" w:rsidP="00576C3D">
      <w:pPr>
        <w:pStyle w:val="Overskrift4"/>
      </w:pPr>
      <w:r w:rsidRPr="00576C3D">
        <w:t>Tilpasninger som sikrer at CBAM-forordningen viser til nasjonalt regelverk i EØS/EFTA-statene og ikke til UCC</w:t>
      </w:r>
    </w:p>
    <w:p w14:paraId="291B023E" w14:textId="77777777" w:rsidR="005D314E" w:rsidRPr="00576C3D" w:rsidRDefault="005D314E" w:rsidP="00576C3D">
      <w:r w:rsidRPr="00576C3D">
        <w:t>Utkastet til EØS-komiteens beslutning legger opp til at de reglene i EØS/EFTA-statene det vises til skal samsvare med reglene, det vises til i UCC.</w:t>
      </w:r>
    </w:p>
    <w:p w14:paraId="0C31BB4D" w14:textId="77777777" w:rsidR="005D314E" w:rsidRPr="00576C3D" w:rsidRDefault="005D314E" w:rsidP="00576C3D">
      <w:r w:rsidRPr="00576C3D">
        <w:t>Tilpasningene knyttet til tollprosedyrer i UCC følger av artikkel 1 bokstav b, c og g. For å ivareta de EØS-rettslige forpliktelsene, vurderer departementet, i samråd med Finansdepartementet, behovet for endringer i nasjonalt regelverk.</w:t>
      </w:r>
    </w:p>
    <w:p w14:paraId="6AEB23FB" w14:textId="77777777" w:rsidR="005D314E" w:rsidRPr="00576C3D" w:rsidRDefault="005D314E" w:rsidP="00576C3D">
      <w:r w:rsidRPr="00576C3D">
        <w:t xml:space="preserve">Opprinnelsesregler benyttes for å avgjøre en vares opprinnelse. Generelt skilles det mellom </w:t>
      </w:r>
      <w:proofErr w:type="spellStart"/>
      <w:r w:rsidRPr="00576C3D">
        <w:t>preferensielle</w:t>
      </w:r>
      <w:proofErr w:type="spellEnd"/>
      <w:r w:rsidRPr="00576C3D">
        <w:t xml:space="preserve"> og ikke-</w:t>
      </w:r>
      <w:proofErr w:type="spellStart"/>
      <w:r w:rsidRPr="00576C3D">
        <w:t>preferensielle</w:t>
      </w:r>
      <w:proofErr w:type="spellEnd"/>
      <w:r w:rsidRPr="00576C3D">
        <w:t xml:space="preserve"> opprinnelsesregler. Med </w:t>
      </w:r>
      <w:proofErr w:type="spellStart"/>
      <w:r w:rsidRPr="00576C3D">
        <w:t>preferensiell</w:t>
      </w:r>
      <w:proofErr w:type="spellEnd"/>
      <w:r w:rsidRPr="00576C3D">
        <w:t xml:space="preserve"> opprinnelse menes fastsetting av opprinnelsesland på grunnlag av frihandelsavtale eller det generelle preferansesystemet for utviklingsland (GSP). Med ikke-</w:t>
      </w:r>
      <w:proofErr w:type="spellStart"/>
      <w:r w:rsidRPr="00576C3D">
        <w:t>preferensielle</w:t>
      </w:r>
      <w:proofErr w:type="spellEnd"/>
      <w:r w:rsidRPr="00576C3D">
        <w:t xml:space="preserve"> opprinnelsesregler menes fastsetting av opprinnelsesland på annet grunnlag.</w:t>
      </w:r>
    </w:p>
    <w:p w14:paraId="59D03810" w14:textId="77777777" w:rsidR="005D314E" w:rsidRPr="00576C3D" w:rsidRDefault="005D314E" w:rsidP="00576C3D">
      <w:r w:rsidRPr="00576C3D">
        <w:t>CBAM-forordningen krever at EUs ikke-</w:t>
      </w:r>
      <w:proofErr w:type="spellStart"/>
      <w:r w:rsidRPr="00576C3D">
        <w:t>preferensielle</w:t>
      </w:r>
      <w:proofErr w:type="spellEnd"/>
      <w:r w:rsidRPr="00576C3D">
        <w:t xml:space="preserve"> opprinnelsesregler brukes for å avgjøre om CBAM-varer har opprinnelse i tredjeland, jf. artikkel 2 nr. 5. Det er ikke samsvar mellom disse reglene og reglene om ikke-</w:t>
      </w:r>
      <w:proofErr w:type="spellStart"/>
      <w:r w:rsidRPr="00576C3D">
        <w:t>preferensielle</w:t>
      </w:r>
      <w:proofErr w:type="spellEnd"/>
      <w:r w:rsidRPr="00576C3D">
        <w:t xml:space="preserve"> opprinnelsesregler i vareførselsforskriften. Siden CBAM-forordningen ved innlemmelse i EØS-avtalen vil gjelde flere tollområder, må EØS/EFTA-statene anvende de samme ikke-</w:t>
      </w:r>
      <w:proofErr w:type="spellStart"/>
      <w:r w:rsidRPr="00576C3D">
        <w:t>preferensielle</w:t>
      </w:r>
      <w:proofErr w:type="spellEnd"/>
      <w:r w:rsidRPr="00576C3D">
        <w:t xml:space="preserve"> opprinnelsesreglene for å sikre enhetlig vurdering av opprinnelse. Tilpasningene som </w:t>
      </w:r>
      <w:proofErr w:type="gramStart"/>
      <w:r w:rsidRPr="00576C3D">
        <w:t>fremgår</w:t>
      </w:r>
      <w:proofErr w:type="gramEnd"/>
      <w:r w:rsidRPr="00576C3D">
        <w:t xml:space="preserve"> av utkastet til EØS-komiteens beslutning i artikkel 1 bokstav b punkt vi, innebærer at EUs ikke-</w:t>
      </w:r>
      <w:proofErr w:type="spellStart"/>
      <w:r w:rsidRPr="00576C3D">
        <w:t>preferensielle</w:t>
      </w:r>
      <w:proofErr w:type="spellEnd"/>
      <w:r w:rsidRPr="00576C3D">
        <w:t xml:space="preserve"> opprinnelsesregler må speiles i forskrift til CBAM-loven, med </w:t>
      </w:r>
      <w:proofErr w:type="gramStart"/>
      <w:r w:rsidRPr="00576C3D">
        <w:t>anvendelse</w:t>
      </w:r>
      <w:proofErr w:type="gramEnd"/>
      <w:r w:rsidRPr="00576C3D">
        <w:t xml:space="preserve"> kun for CBAM-formål.</w:t>
      </w:r>
    </w:p>
    <w:p w14:paraId="24039C99" w14:textId="77777777" w:rsidR="005D314E" w:rsidRPr="00576C3D" w:rsidRDefault="005D314E" w:rsidP="00576C3D">
      <w:r w:rsidRPr="00576C3D">
        <w:t xml:space="preserve">Gjennomføringen av CBAM i Norge vil ikke påvirke de </w:t>
      </w:r>
      <w:proofErr w:type="spellStart"/>
      <w:r w:rsidRPr="00576C3D">
        <w:t>preferensielle</w:t>
      </w:r>
      <w:proofErr w:type="spellEnd"/>
      <w:r w:rsidRPr="00576C3D">
        <w:t xml:space="preserve"> opprinnelsesreglene som gjelder i Norges frihandelsavtaler, eller de ikke-</w:t>
      </w:r>
      <w:proofErr w:type="spellStart"/>
      <w:r w:rsidRPr="00576C3D">
        <w:t>preferensielle</w:t>
      </w:r>
      <w:proofErr w:type="spellEnd"/>
      <w:r w:rsidRPr="00576C3D">
        <w:t xml:space="preserve"> opprinnelsesreglene som gjelder etter andre regelverk enn CBAM. Det vil kunne føre til økt administrativ byrde for aktører som omfattes av CBAM og andre regelverk som benytter ikke-</w:t>
      </w:r>
      <w:proofErr w:type="spellStart"/>
      <w:r w:rsidRPr="00576C3D">
        <w:t>preferensielle</w:t>
      </w:r>
      <w:proofErr w:type="spellEnd"/>
      <w:r w:rsidRPr="00576C3D">
        <w:t xml:space="preserve"> opprinnelsesregler etter tollavgiftsloven § 4-2, ved at det blir behov for å sette seg inn i et eget sett med opprinnelsesregler som kun gjelder import av CBAM-varer. Norske eksportører av CBAM-varer til EU eller Island må også være i stand til å dokumentere opprinnelsen på CBAM-varer, basert på opprinnelsesreglene under CBAM.</w:t>
      </w:r>
    </w:p>
    <w:p w14:paraId="399B6ACE" w14:textId="77777777" w:rsidR="005D314E" w:rsidRPr="00576C3D" w:rsidRDefault="005D314E" w:rsidP="00576C3D">
      <w:r w:rsidRPr="00576C3D">
        <w:t>Norsk regelverk må legge til rette at en aktør som importerer CBAM-varer kan oppnevne en tollrepresentant som påtar seg ansvaret som CBAM-</w:t>
      </w:r>
      <w:proofErr w:type="spellStart"/>
      <w:r w:rsidRPr="00576C3D">
        <w:t>deklarant</w:t>
      </w:r>
      <w:proofErr w:type="spellEnd"/>
      <w:r w:rsidRPr="00576C3D">
        <w:t>. CBAM-forordningen artikkel 5 har regler om bruk av indirekte tollrepresentant som CBAM-</w:t>
      </w:r>
      <w:proofErr w:type="spellStart"/>
      <w:r w:rsidRPr="00576C3D">
        <w:t>deklarant</w:t>
      </w:r>
      <w:proofErr w:type="spellEnd"/>
      <w:r w:rsidRPr="00576C3D">
        <w:t>, i samsvar med UCC artikkel 18. En indirekte tollrepresentant i UCC opptrer i eget navn, men på vegne av den representerte. Vareførselsloven har ikke regler om bruk av indirekte tollrepresentant. En regel om representasjon må derfor gis i forskrift med hjemmel i CBAM-loven. Det er foreslått at aktører kan bruke en tollrepresentant etter vareførselsloven § 7-21 som CBAM-</w:t>
      </w:r>
      <w:proofErr w:type="spellStart"/>
      <w:r w:rsidRPr="00576C3D">
        <w:t>deklarant</w:t>
      </w:r>
      <w:proofErr w:type="spellEnd"/>
      <w:r w:rsidRPr="00576C3D">
        <w:t>. En tollrepresentant handler på vegne av den representerte og i den representertes navn. Tilpasningene er inntatt i artikkel 1 bokstav c punkt vi og bokstav e punkt i.</w:t>
      </w:r>
    </w:p>
    <w:p w14:paraId="1A5D36C8" w14:textId="77777777" w:rsidR="005D314E" w:rsidRPr="00576C3D" w:rsidRDefault="005D314E" w:rsidP="00576C3D">
      <w:r w:rsidRPr="00576C3D">
        <w:t xml:space="preserve">Tilpasningene i artikkel 1 bokstav o punkt ii punkt c innebærer at henvisninger til EUs tariffnomenklatur, skal forstås som henvisninger til tilsvarende klassifisering av varer i Norge. I vareførselsloven klassifiseres varer etter tolltariffen, som ikke samsvarer med EUs tariffnomenklatur. Det er derfor behov for en regel i forskrift til CBAM-loven om at klassifisering av varer etter EUs tariffnomenklatur skal gjennomføres i norsk rett og benyttes for CBAM-formål. Tilpasningen i artikkel 1 bokstav q punkt ii sikrer at forpliktelsen til å klassifisere varer etter EUs tariffnomenklatur kun gjelder varekategoriene som er oppført i vedlegg I til CBAM-forordningen. </w:t>
      </w:r>
      <w:proofErr w:type="gramStart"/>
      <w:r w:rsidRPr="00576C3D">
        <w:t>For øvrig</w:t>
      </w:r>
      <w:proofErr w:type="gramEnd"/>
      <w:r w:rsidRPr="00576C3D">
        <w:t xml:space="preserve"> skal varer også fortsatt klassifiseres etter den norske tolltariffen og norske varenumre, jf. forskrift om klassifisering av varer.</w:t>
      </w:r>
    </w:p>
    <w:p w14:paraId="050B5740" w14:textId="77777777" w:rsidR="005D314E" w:rsidRPr="00576C3D" w:rsidRDefault="005D314E" w:rsidP="00576C3D">
      <w:pPr>
        <w:pStyle w:val="Overskrift4"/>
      </w:pPr>
      <w:r w:rsidRPr="00576C3D">
        <w:t>Tilpasninger som sikrer at CBAM-forpliktelsen utløses kun én gang</w:t>
      </w:r>
    </w:p>
    <w:p w14:paraId="1F1ED565" w14:textId="77777777" w:rsidR="005D314E" w:rsidRPr="00576C3D" w:rsidRDefault="005D314E" w:rsidP="00576C3D">
      <w:r w:rsidRPr="00576C3D">
        <w:t>CBAM-forpliktelsen skal kun gjelde én gang i EØS. Det betyr at dersom en CBAM-</w:t>
      </w:r>
      <w:proofErr w:type="spellStart"/>
      <w:r w:rsidRPr="00576C3D">
        <w:t>deklarant</w:t>
      </w:r>
      <w:proofErr w:type="spellEnd"/>
      <w:r w:rsidRPr="00576C3D">
        <w:t xml:space="preserve"> i EU importerer en CBAM-vare fra et land utenfor EØS, slik at CBAM-forpliktelsen inntrer, skal den ikke ilegges på nytt dersom varen senere tas til fri disponering i et annet land i EØS. Utkast til EØS-komiteens beslutning inneholder dermed tilpasningstekster som regulerer dette. Dette følger av artikkel 1 bokstav b punkt iii og artikkel 1 bokstav b punkt iv.</w:t>
      </w:r>
    </w:p>
    <w:p w14:paraId="7CED3E6F" w14:textId="77777777" w:rsidR="005D314E" w:rsidRPr="00576C3D" w:rsidRDefault="005D314E" w:rsidP="00576C3D">
      <w:pPr>
        <w:pStyle w:val="Overskrift4"/>
      </w:pPr>
      <w:r w:rsidRPr="00576C3D">
        <w:t>Utvalgte tekniske tilpasninger</w:t>
      </w:r>
    </w:p>
    <w:p w14:paraId="348111C0" w14:textId="77777777" w:rsidR="005D314E" w:rsidRPr="00576C3D" w:rsidRDefault="005D314E" w:rsidP="00576C3D">
      <w:r w:rsidRPr="00576C3D">
        <w:t>Forvaltningen av CBAM forutsetter bruk av EUs IT-systemer som benyttes i tollunionen. Tollmyndighetene i EØS/EFTA-statene har ikke tilgang til disse systemene. Der CBAM-forordningen viser til EUs IT-systemer, er det lagt inn tilpasningstekst som regulerer hvordan oppgaver som skal utføres i disse systemene, skal håndteres i EØS/EFTA-statene. Dette gjelder blant annet hvordan tollmyndighetene i EØS/EFTA-statene skal dele tolldata om importerte CBAM-varer med Kommisjonen.</w:t>
      </w:r>
    </w:p>
    <w:p w14:paraId="5692BC1B" w14:textId="77777777" w:rsidR="005D314E" w:rsidRPr="00576C3D" w:rsidRDefault="005D314E" w:rsidP="00576C3D">
      <w:r w:rsidRPr="00576C3D">
        <w:t>Norske aktører som søker om autorisasjon som CBAM-</w:t>
      </w:r>
      <w:proofErr w:type="spellStart"/>
      <w:r w:rsidRPr="00576C3D">
        <w:t>deklarant</w:t>
      </w:r>
      <w:proofErr w:type="spellEnd"/>
      <w:r w:rsidRPr="00576C3D">
        <w:t xml:space="preserve"> har i utgangspunktet ikke tilgang til CBAM-registeret, fordi pålogging forutsetter at aktørene har et EORI-nummer, som utstedes i EU. Norge er ikke en del av EUs EORI-system. Implementering av CBAM-forordningen i EØS-avtalen forutsetter at Norge kan ta i bruk en tilsvarende identifikator som anerkjennes av EU, og som kan benyttes for å identifisere virksomheter og la disse få tilgang til CBAM-registeret. Utvikling av løsning og nødvendige regelverksendringer følges opp av Finansdepartementet.</w:t>
      </w:r>
    </w:p>
    <w:p w14:paraId="56472AFA" w14:textId="77777777" w:rsidR="005D314E" w:rsidRPr="00576C3D" w:rsidRDefault="005D314E" w:rsidP="00576C3D">
      <w:pPr>
        <w:pStyle w:val="Overskrift3"/>
      </w:pPr>
      <w:r w:rsidRPr="00576C3D">
        <w:t>To-pilarstrukturen i EØS-avtalen</w:t>
      </w:r>
    </w:p>
    <w:p w14:paraId="0348AA7E" w14:textId="77777777" w:rsidR="005D314E" w:rsidRPr="00576C3D" w:rsidRDefault="005D314E" w:rsidP="00576C3D">
      <w:r w:rsidRPr="00576C3D">
        <w:t xml:space="preserve">To-pilarstrukturen i EØS-avtalen innebærer at oppgaver som er tillagt institusjoner i EU, skal utføres av tilsvarende institusjoner i EØS/EFTA-statene. I de tilfellene der en rettsakt tillegger Kommisjonen overvåkingsoppgaver, skal disse vanligvis utføres av </w:t>
      </w:r>
      <w:proofErr w:type="spellStart"/>
      <w:r w:rsidRPr="00576C3D">
        <w:t>EFTAs</w:t>
      </w:r>
      <w:proofErr w:type="spellEnd"/>
      <w:r w:rsidRPr="00576C3D">
        <w:t xml:space="preserve"> overvåkningsorgan (ESA) for EØS/EFTA-statene, jf. artikkel 109 i EØS-avtalen. Ivaretakelsen av to-pilarstrukturen i EØS-avtalen medfører at det i noen tilfeller er behov for tilpasninger i EØS-komiteens beslutning der ansvarsfordelingen ikke følger av artikkel 109 eller av de generelle tilpasningene etter EØS-avtalen protokoll 1.</w:t>
      </w:r>
    </w:p>
    <w:p w14:paraId="15C145F2" w14:textId="77777777" w:rsidR="005D314E" w:rsidRPr="00576C3D" w:rsidRDefault="005D314E" w:rsidP="00576C3D">
      <w:r w:rsidRPr="00576C3D">
        <w:t>Kommisjonen har en sentral rolle i forvaltningen av CBAM, blant annet som eier og driftsansvarlig av CBAM-registeret. Kommisjonen overvåker og administrerer data som rapporteres til registeret av CBAM-</w:t>
      </w:r>
      <w:proofErr w:type="spellStart"/>
      <w:r w:rsidRPr="00576C3D">
        <w:t>deklaranter</w:t>
      </w:r>
      <w:proofErr w:type="spellEnd"/>
      <w:r w:rsidRPr="00576C3D">
        <w:t>, produsenter i tredjeland, samt ansvarlige myndigheter og tollmyndigheter, i tråd med CBAM-forordningen. Kommisjonen er også ansvarlig for å etablere og forvalte den sentrale salgsplattformen gjennom en anskaffelsesavtale mellom Kommisjonen og medlemsstatene i EU. Disse tekniske oppgavene er lagt til Kommisjonen også overfor EØS/EFTA-statene. Det vurderes ikke som teknisk, økonomisk mulig eller hensiktsmessig å etablere eget tilsvarende register eller salgsplattform med nødvendige koblinger til EU-siden for EØS/EFTA-statene. CBAM-forordningen etablerer et fullharmonisert system som vil gjelde på tvers av EØS når rettsakten innlemmes i EØS-avtalen. For at CBAM-forordningen skal fungere etter hensikten, må de tekniske oppgavene praktiseres enhetlig og konsekvent. Dette har paralleller til EUs klimakvotesystem, hvor EØS/EFTA-statene også er en del av et fullharmonisert system.</w:t>
      </w:r>
    </w:p>
    <w:p w14:paraId="32A501CD" w14:textId="77777777" w:rsidR="005D314E" w:rsidRPr="00576C3D" w:rsidRDefault="005D314E" w:rsidP="00576C3D">
      <w:r w:rsidRPr="00576C3D">
        <w:t>Andre og mer overvåkingsrelaterte oppgaver som innebærer vurderinger eller beslutninger som påvirker rettigheter og forpliktelser for aktører i EØS/EFTA-statene, legges imidlertid til ESA. Sistnevnte gjelder for kompetansen Kommisjonen har etter CBAM-forordningen artikkel 19 og 27 til å gjennomføre stedlig tilsyn hos aktører og til å reagere og motvirke omgåelsespraksis av CBAM-forordningen. Nedenfor følger en redegjørelse av tilpasninger til EØS-komitébeslutningen hvor ESA har fått en rolle.</w:t>
      </w:r>
    </w:p>
    <w:p w14:paraId="7F42D861" w14:textId="77777777" w:rsidR="005D314E" w:rsidRPr="00576C3D" w:rsidRDefault="005D314E" w:rsidP="00576C3D">
      <w:r w:rsidRPr="00576C3D">
        <w:t>Tilpasninger som er nødvendige for å ivareta to-pilarstrukturen i EØS-avtalen kan deles inn i to kategorier.</w:t>
      </w:r>
    </w:p>
    <w:p w14:paraId="4274094F" w14:textId="77777777" w:rsidR="005D314E" w:rsidRPr="00576C3D" w:rsidRDefault="005D314E" w:rsidP="00576C3D">
      <w:pPr>
        <w:pStyle w:val="Overskrift4"/>
      </w:pPr>
      <w:r w:rsidRPr="00576C3D">
        <w:t xml:space="preserve"> Tilpasninger til bestemmelser om tilsyn og etterforskning</w:t>
      </w:r>
    </w:p>
    <w:p w14:paraId="7895F024" w14:textId="77777777" w:rsidR="005D314E" w:rsidRPr="00576C3D" w:rsidRDefault="005D314E" w:rsidP="00576C3D">
      <w:r w:rsidRPr="00576C3D">
        <w:t>Artikkel 1 bokstav m punkt ii sikrer at stedlig tilsyn etter artikkel 19 nr. 2 andre ledd av CBAM-</w:t>
      </w:r>
      <w:proofErr w:type="spellStart"/>
      <w:r w:rsidRPr="00576C3D">
        <w:t>deklaranter</w:t>
      </w:r>
      <w:proofErr w:type="spellEnd"/>
      <w:r w:rsidRPr="00576C3D">
        <w:t xml:space="preserve"> i EØS/EFTA-statene utføres av ESA, og ikke Kommisjonen. Tilpasningen gir derimot anledning for at Kommisjonen, og andre personer utnevnt av Kommisjonen, kan delta på tilsynene i samråd med ESA.</w:t>
      </w:r>
    </w:p>
    <w:p w14:paraId="2B2A8A1E" w14:textId="77777777" w:rsidR="005D314E" w:rsidRPr="00576C3D" w:rsidRDefault="005D314E" w:rsidP="00576C3D">
      <w:r w:rsidRPr="00576C3D">
        <w:t>Det følger av artikkel 1 bokstav q punkt i at i tilfeller der Kommisjonen er gitt myndighet etter artikkel 27 til å undersøke om CBAM-</w:t>
      </w:r>
      <w:proofErr w:type="spellStart"/>
      <w:r w:rsidRPr="00576C3D">
        <w:t>deklaranter</w:t>
      </w:r>
      <w:proofErr w:type="spellEnd"/>
      <w:r w:rsidRPr="00576C3D">
        <w:t xml:space="preserve"> omgår regelverket, skal ESA utføre disse oppgavene når de angår importører i EØS/EFTA-statene.</w:t>
      </w:r>
    </w:p>
    <w:p w14:paraId="1A017040" w14:textId="77777777" w:rsidR="005D314E" w:rsidRPr="00576C3D" w:rsidRDefault="005D314E" w:rsidP="00576C3D">
      <w:pPr>
        <w:pStyle w:val="Overskrift4"/>
      </w:pPr>
      <w:r w:rsidRPr="00576C3D">
        <w:t>Tilpasninger til bestemmelser om informasjonsdeling</w:t>
      </w:r>
    </w:p>
    <w:p w14:paraId="443C0870" w14:textId="77777777" w:rsidR="005D314E" w:rsidRPr="00576C3D" w:rsidRDefault="005D314E" w:rsidP="00576C3D">
      <w:r w:rsidRPr="00576C3D">
        <w:t>Etter artikkel 1 bokstav h skal Kommisjonen gi assistanse og involvere ESA og ansvarlig myndighet i EØS/EFTA-statene på en slik måte at tilsvarende samarbeid og informasjonsdeling mellom ansvarlige myndigheter i EØS/EFTA-statene og EUs medlemsstater, samt mellom ansvarlige myndigheter i EØS/EFTA-statene og ESA, gjennomføres etter artikkel 12 i CBAM-forordningen.</w:t>
      </w:r>
    </w:p>
    <w:p w14:paraId="4E1C8B93" w14:textId="77777777" w:rsidR="005D314E" w:rsidRPr="00576C3D" w:rsidRDefault="005D314E" w:rsidP="00576C3D">
      <w:r w:rsidRPr="00576C3D">
        <w:t>Det følger av artikkel 1 bokstav i punkt i og ii punkt a at ESA også underlegges taushetsplikt etter artikkel 13 nr. 1, og at ESA får unntak for taushetsplikt i de samme tilfellene som Kommisjonen etter artikkel 13 nr. 2. Videre følger det av artikkel 1 bokstav i punkt ii punkt b at deling av taushetsbelagt informasjon med den europeiske påtalemyndigheten (EPPO) ikke gjelder for EØS/EFTA-statene.</w:t>
      </w:r>
    </w:p>
    <w:p w14:paraId="38236CE8" w14:textId="77777777" w:rsidR="005D314E" w:rsidRPr="00576C3D" w:rsidRDefault="005D314E" w:rsidP="00576C3D">
      <w:r w:rsidRPr="00576C3D">
        <w:t>Det slås fast i artikkel 1 bokstav j at også ESA etter artikkel 14 nr. 1 skal ha nødvendig tilgang til informasjon i CBAM-registeret for å gjennomføre sine oppgaver. Videre gir artikkel 1 bokstav k Kommisjonen i oppgave å informere ESA om uregelmessigheter som følge av den risikobaserte analysen Kommisjonen gjennomfører etter CBAM-forordningen artikkel 15 nr. 1.</w:t>
      </w:r>
    </w:p>
    <w:p w14:paraId="4215C657" w14:textId="77777777" w:rsidR="005D314E" w:rsidRPr="00576C3D" w:rsidRDefault="005D314E" w:rsidP="00576C3D">
      <w:r w:rsidRPr="00576C3D">
        <w:t>Endelig fastslår artikkel 1 bokstav m punkt i at Kommisjonen skal holde ESA orientert om uregelmessigheter om CBAM-</w:t>
      </w:r>
      <w:proofErr w:type="spellStart"/>
      <w:r w:rsidRPr="00576C3D">
        <w:t>deklaranter</w:t>
      </w:r>
      <w:proofErr w:type="spellEnd"/>
      <w:r w:rsidRPr="00576C3D">
        <w:t xml:space="preserve"> etablert i EØS/EFTA-statene, og sikrer dermed at ESA også har myndighet til å utføre kontroll av CBAM-</w:t>
      </w:r>
      <w:proofErr w:type="spellStart"/>
      <w:r w:rsidRPr="00576C3D">
        <w:t>deklaranter</w:t>
      </w:r>
      <w:proofErr w:type="spellEnd"/>
      <w:r w:rsidRPr="00576C3D">
        <w:t xml:space="preserve"> etablert i EØS/EFTA-statene, på lik linje som Kommisjonens myndighet i CBAM-forordningen artikkel 19 nr. 1.</w:t>
      </w:r>
    </w:p>
    <w:p w14:paraId="5866CB13" w14:textId="77777777" w:rsidR="005D314E" w:rsidRPr="00576C3D" w:rsidRDefault="005D314E" w:rsidP="00576C3D">
      <w:pPr>
        <w:pStyle w:val="Overskrift3"/>
      </w:pPr>
      <w:r w:rsidRPr="00576C3D">
        <w:t>Felles anskaffelse av salgsplattformen</w:t>
      </w:r>
    </w:p>
    <w:p w14:paraId="7A897F13" w14:textId="77777777" w:rsidR="005D314E" w:rsidRPr="00576C3D" w:rsidRDefault="005D314E" w:rsidP="00576C3D">
      <w:r w:rsidRPr="00576C3D">
        <w:t xml:space="preserve">Salgsplattformen skal etableres og forvaltes av Kommisjonen gjennom en avtale mellom Kommisjonen og medlemsstatene om felles anskaffelse, jf. artikkel nr. 20 nr. 2. Det følger av tilpasningen i artikkel 1 bokstav n at EØS/EFTA-statene kan delta i den felles anskaffelsen hvis EØS/EFTA-statene slutter seg til avtalen om denne. Dette tilsvarer fremgangsmåten for etablering og forvaltning av den felles auksjonsplattformen for auksjonering av klimakvoter i </w:t>
      </w:r>
      <w:proofErr w:type="gramStart"/>
      <w:r w:rsidRPr="00576C3D">
        <w:t>medhold av</w:t>
      </w:r>
      <w:proofErr w:type="gramEnd"/>
      <w:r w:rsidRPr="00576C3D">
        <w:t xml:space="preserve"> forordning (EU) nr. 1031/2010, og for auksjonsovervåkeren. Norge sluttet seg til de felles anskaffelsesavtalene for auksjonsplattform og auksjonsovervåker i 2018, som følge av tilpasning i EØS-komitébeslutningen som innlemmet auksjonsforordningen. Dette ble omtalt i </w:t>
      </w:r>
      <w:proofErr w:type="spellStart"/>
      <w:r w:rsidRPr="00576C3D">
        <w:t>Prop</w:t>
      </w:r>
      <w:proofErr w:type="spellEnd"/>
      <w:r w:rsidRPr="00576C3D">
        <w:t>. 101 S (2017–2018) kapittel 3 og 4. Det legges til grunn at også tilknytningsavtalen om salgsplattformen under CBAM-forordningen vil likestille Norge med medlemsstatene og Kommisjonen som fullverdige parter med de samme rettigheter og forpliktelser som dem, med unntak for stemmerett.</w:t>
      </w:r>
    </w:p>
    <w:p w14:paraId="07DD00AE" w14:textId="77777777" w:rsidR="005D314E" w:rsidRPr="00576C3D" w:rsidRDefault="005D314E" w:rsidP="00576C3D">
      <w:r w:rsidRPr="00576C3D">
        <w:t>Dersom inngåelse av og innholdet i tilknytning til avtalen om felles anskaffelse av salgsplattformen avviker vesentlig fra andre tilsvarende løsninger eller vurderes å være av særlig stor viktighet, vil regjeringen komme tilbake til Stortinget, jf. Grunnloven § 26 annet ledd.</w:t>
      </w:r>
    </w:p>
    <w:p w14:paraId="446FC197" w14:textId="77777777" w:rsidR="005D314E" w:rsidRPr="00576C3D" w:rsidRDefault="005D314E" w:rsidP="00576C3D">
      <w:r w:rsidRPr="00576C3D">
        <w:t>Artikkel 20 nr. 5a første ledd i CBAM-forordningen sier at kostnader som påløper i forbindelse med etablering, drift og forvaltning av den felles salgsplattformen skal finansieres gjennom gebyrer ved kjøp av CBAM-sertifikater. Det vil si at CBAM-</w:t>
      </w:r>
      <w:proofErr w:type="spellStart"/>
      <w:r w:rsidRPr="00576C3D">
        <w:t>deklaranter</w:t>
      </w:r>
      <w:proofErr w:type="spellEnd"/>
      <w:r w:rsidRPr="00576C3D">
        <w:t xml:space="preserve"> får en økt kostnad. Artikkel 20 nr. 5a andre ledd sier at den første avtalen om felles anskaffelse om etablering, drift og forvaltning av salgsplattformen skal finansieres gjennom EUs generelle budsjett. EU har stilt krav om at EØS/EFTA-statene også bidrar finansielt til dette, og det finansielle bidraget foreslås regulert i EØS-avtalen protokoll 31 gjennom utkast til EØS-komitébeslutning om tilgang til og finansiering av IT-tekniske systemer i CBAM. Se omtale av dette i punkt 7. Videre gir artikkelen Kommisjonen myndighet til å vedta en underliggende rettsakt som fastsetter at gebyrer ved kjøp av CBAM-sertifikater også skal finansiere videre drift og forvaltning av den felles salgsplattformen.</w:t>
      </w:r>
    </w:p>
    <w:p w14:paraId="0E62A868" w14:textId="77777777" w:rsidR="005D314E" w:rsidRPr="00576C3D" w:rsidRDefault="005D314E" w:rsidP="00576C3D">
      <w:r w:rsidRPr="00576C3D">
        <w:t>Artikkel 20 nr. 6 i CBAM-forordningen gir Kommisjonen myndighet til å vedta underliggende rettsakter som fastsetter gebyrstrukturen og gebyrnivået slik at organiseringen og bruken av den felles salgsplattformen er kostnadseffektiv, at gebyrene fastsettes slik at de kun dekker de relevante kostnadene og at unødige administrative kostnader unngås.</w:t>
      </w:r>
    </w:p>
    <w:p w14:paraId="79E35C7E" w14:textId="77777777" w:rsidR="005D314E" w:rsidRPr="00576C3D" w:rsidRDefault="005D314E" w:rsidP="00576C3D">
      <w:pPr>
        <w:pStyle w:val="Overskrift3"/>
      </w:pPr>
      <w:r w:rsidRPr="00576C3D">
        <w:t>Avtaler med tredjeland</w:t>
      </w:r>
    </w:p>
    <w:p w14:paraId="22604F40" w14:textId="77777777" w:rsidR="005D314E" w:rsidRPr="00576C3D" w:rsidRDefault="005D314E" w:rsidP="00576C3D">
      <w:r w:rsidRPr="00576C3D">
        <w:t>Artikkel 2 i CBAM-forordningen gir Kommisjonen kompetanse til å inngå avtaler med tredjeland om forhold som påvirker forpliktelsene i CBAM-forordningen. Samarbeid med tredjeland faller utenfor EØS-avtalens virkeområde. Avtaler inngått mellom EU og tredjeland er ikke bindende for EØS/EFTA-statene og kompetansen til å inngå juridisk bindende avtaler med tredjeland ligger hos EØS/EFTA-statene selv. Hvorvidt bestemmelser som gjelder avtaler med tredjeland skal innlemmes i EØS-avtalen og med hvilke tilpasninger, må vurderes konkret i hver enkelt sak.</w:t>
      </w:r>
    </w:p>
    <w:p w14:paraId="63CD1F4B" w14:textId="77777777" w:rsidR="005D314E" w:rsidRPr="00576C3D" w:rsidRDefault="005D314E" w:rsidP="00576C3D">
      <w:r w:rsidRPr="00576C3D">
        <w:t xml:space="preserve">I utkastet til EØS-komitébeslutning om innlemmelse av CBAM-forordningen er det foreslått én tilpasning for å sikre at mekanismen blir fullharmonisert i EØS-området fra det tidspunktet CBAM får </w:t>
      </w:r>
      <w:proofErr w:type="gramStart"/>
      <w:r w:rsidRPr="00576C3D">
        <w:t>anvendelse</w:t>
      </w:r>
      <w:proofErr w:type="gramEnd"/>
      <w:r w:rsidRPr="00576C3D">
        <w:t xml:space="preserve"> i EØS/EFTA-statene. Dette sikrer også at konkurransevilkårene blir like. Utkastets artikkel 1 bokstav b punkt vi fastsetter at når EU inngår avtaler med tredjeland etter artikkel 2 nr. 12 i CBAM-forordningen om anerkjent karbonpris i tråd med artikkel 9, skal CBAM-</w:t>
      </w:r>
      <w:proofErr w:type="spellStart"/>
      <w:r w:rsidRPr="00576C3D">
        <w:t>deklaranter</w:t>
      </w:r>
      <w:proofErr w:type="spellEnd"/>
      <w:r w:rsidRPr="00576C3D">
        <w:t xml:space="preserve"> i EØS/EFTA-statene behandles likt med CBAM-</w:t>
      </w:r>
      <w:proofErr w:type="spellStart"/>
      <w:r w:rsidRPr="00576C3D">
        <w:t>deklaranter</w:t>
      </w:r>
      <w:proofErr w:type="spellEnd"/>
      <w:r w:rsidRPr="00576C3D">
        <w:t xml:space="preserve"> i EU. Dette innebærer at når CBAM-</w:t>
      </w:r>
      <w:proofErr w:type="spellStart"/>
      <w:r w:rsidRPr="00576C3D">
        <w:t>deklaranter</w:t>
      </w:r>
      <w:proofErr w:type="spellEnd"/>
      <w:r w:rsidRPr="00576C3D">
        <w:t xml:space="preserve"> i EØS/EFTA-statene skal gjøre opp sine oppgjørsforpliktelser, så kan de, i likhet med CBAM-</w:t>
      </w:r>
      <w:proofErr w:type="spellStart"/>
      <w:r w:rsidRPr="00576C3D">
        <w:t>deklaranter</w:t>
      </w:r>
      <w:proofErr w:type="spellEnd"/>
      <w:r w:rsidRPr="00576C3D">
        <w:t xml:space="preserve"> i EU, trekke fra allerede betalt karbonpris i tredjelandet. Videre skal EU informere EØS/EFTA-statene tidlig om forhandlinger og konklusjoner knyttet til slike avtaler.</w:t>
      </w:r>
    </w:p>
    <w:p w14:paraId="4F36604E" w14:textId="77777777" w:rsidR="005D314E" w:rsidRPr="00576C3D" w:rsidRDefault="005D314E" w:rsidP="00576C3D">
      <w:r w:rsidRPr="00576C3D">
        <w:t xml:space="preserve">Innholdet i slike avtaler er begrenset til artikkel 2 nr. 12 i CBAM-forordningen som gir EU adgang til å inngå avtaler med tredjeland for å ta hensyn til karbonprising i det aktuelle landet ved </w:t>
      </w:r>
      <w:proofErr w:type="gramStart"/>
      <w:r w:rsidRPr="00576C3D">
        <w:t>anvendelsen</w:t>
      </w:r>
      <w:proofErr w:type="gramEnd"/>
      <w:r w:rsidRPr="00576C3D">
        <w:t xml:space="preserve"> av artikkel 9. Artikkel 9 åpner for at CBAM-</w:t>
      </w:r>
      <w:proofErr w:type="spellStart"/>
      <w:r w:rsidRPr="00576C3D">
        <w:t>deklaranter</w:t>
      </w:r>
      <w:proofErr w:type="spellEnd"/>
      <w:r w:rsidRPr="00576C3D">
        <w:t xml:space="preserve"> kan kreve en reduksjon av antall CBAM-sertifikater som skal leveres, tilsvarende karbonprisen som er betalt der CBAM-varen er produsert. Formålet med avtalene etter artikkel 2 nr. 12, er å åpne for at CBAM-forordningen også kan hensynta prising gjennom klimaavgifter, og ikke bare prising gjennom et kvotesystem, jf. artikkel 2 nr. 6 bokstav a i CBAM-forordningen og håndtering av denne artikkelen i fortalepunkt 5 i utkast til EØS-komitébeslutning.</w:t>
      </w:r>
    </w:p>
    <w:p w14:paraId="741964ED" w14:textId="77777777" w:rsidR="005D314E" w:rsidRPr="00576C3D" w:rsidRDefault="005D314E" w:rsidP="00576C3D">
      <w:r w:rsidRPr="00576C3D">
        <w:t>Tilpasningen i utkastets artikkel 1 punkt b punkt vi er ment å sikre at EU ikke inngår avtaler med tredjeland som går på bekostning av EØS/EFTA-statenes interesser. EØS/EFTA-statene vil ikke være en del av avtalene EU inngår med tredjeland, men vil bli påvirket av dem fordi karbonprisingen i det aktuelle landet påvirker også utregningen av antall CBAM-sertifikater som CBAM-</w:t>
      </w:r>
      <w:proofErr w:type="spellStart"/>
      <w:r w:rsidRPr="00576C3D">
        <w:t>deklaranter</w:t>
      </w:r>
      <w:proofErr w:type="spellEnd"/>
      <w:r w:rsidRPr="00576C3D">
        <w:t xml:space="preserve"> i EØS/EFTA-statene må kjøpe.</w:t>
      </w:r>
    </w:p>
    <w:p w14:paraId="0D41DB13" w14:textId="77777777" w:rsidR="005D314E" w:rsidRPr="00576C3D" w:rsidRDefault="005D314E" w:rsidP="00576C3D">
      <w:r w:rsidRPr="00576C3D">
        <w:t>Fortalepunkt 5 viser at det juridiske grunnlaget for inngåelse av avtaler med tredjeland etter artikkel 2 nr. 6 om kobling av EUs klimakvotesystem med klimakvotesystemer i tredjeland, er artikkel 25 i klimakvotedirektivet 2003/87/EF.</w:t>
      </w:r>
    </w:p>
    <w:p w14:paraId="327E2EDC" w14:textId="77777777" w:rsidR="005D314E" w:rsidRPr="00576C3D" w:rsidRDefault="005D314E" w:rsidP="00576C3D">
      <w:pPr>
        <w:pStyle w:val="Overskrift2"/>
      </w:pPr>
      <w:r w:rsidRPr="00576C3D">
        <w:t>Konstitusjonelle forhold</w:t>
      </w:r>
    </w:p>
    <w:p w14:paraId="2DD88849" w14:textId="77777777" w:rsidR="005D314E" w:rsidRPr="00576C3D" w:rsidRDefault="005D314E" w:rsidP="00576C3D">
      <w:pPr>
        <w:pStyle w:val="Overskrift3"/>
      </w:pPr>
      <w:r w:rsidRPr="00576C3D">
        <w:t>Behov for Stortingets samtykke etter Grunnloven § 26</w:t>
      </w:r>
    </w:p>
    <w:p w14:paraId="66F1349B" w14:textId="77777777" w:rsidR="005D314E" w:rsidRPr="00576C3D" w:rsidRDefault="005D314E" w:rsidP="00576C3D">
      <w:r w:rsidRPr="00576C3D">
        <w:t>Etter Grunnloven § 26 annet ledd er det nødvendig å innhente Stortingets samtykke til EØS-komitébeslutninger om innlemmelse av nye rettsakter i EØS-avtalen når gjennomføringen vil kreve at Stortinget treffer et lovvedtak eller en annen beslutning eller angår en sak av særlig stor viktighet. Innlemmelse av CBAM-forordningen i EØS-avtalen og gjennomføring i norsk rett krever lovvedtak og innebærer budsjettmessige konsekvenser. Det er derfor nødvendig å innhente Stortingets samtykke. Det er et spørsmål om Stortingets samtykke kan innhentes gjennom simpelt eller kvalifisert flertall på grunn av myndighetsoverføring, dette spørsmålet vurderes i punkt 6.3.2.</w:t>
      </w:r>
    </w:p>
    <w:p w14:paraId="4E7C0137" w14:textId="77777777" w:rsidR="005D314E" w:rsidRPr="00576C3D" w:rsidRDefault="005D314E" w:rsidP="00576C3D">
      <w:pPr>
        <w:pStyle w:val="Overskrift3"/>
      </w:pPr>
      <w:r w:rsidRPr="00576C3D">
        <w:t>Myndighetsoverføring</w:t>
      </w:r>
    </w:p>
    <w:p w14:paraId="06476BD5" w14:textId="77777777" w:rsidR="005D314E" w:rsidRPr="00576C3D" w:rsidRDefault="005D314E" w:rsidP="00576C3D">
      <w:pPr>
        <w:pStyle w:val="Overskrift4"/>
      </w:pPr>
      <w:r w:rsidRPr="00576C3D">
        <w:t>Utgangspunktet for vurderingen</w:t>
      </w:r>
    </w:p>
    <w:p w14:paraId="7D007D7A" w14:textId="77777777" w:rsidR="005D314E" w:rsidRPr="00576C3D" w:rsidRDefault="005D314E" w:rsidP="00576C3D">
      <w:r w:rsidRPr="00576C3D">
        <w:t>Grunnloven bygger på prinsippet om at lovgivende, utøvende og dømmende myndighet i Norge som hovedregel skal utøves av norske statsorganer. Når myndighet som etter Grunnloven ellers ligger til statens organer overføres til internasjonale organer, foreligger det myndighetsoverføring. Det skilles normalt mellom tilfeller der en beslutning fra et internasjonalt organ gjelder direkte overfor private rettssubjekter, og tilfeller hvor beslutningen er rettet mot norske myndigheter som deretter har en folkerettslig plikt til å gjennomføre den nasjonalt. Der beslutningene bare har folkerettslig virkning, kan Stortinget i vid utstrekning samtykke til å legge slik myndighet til et internasjonalt organ etter Grunnloven § 26 andre ledd.</w:t>
      </w:r>
    </w:p>
    <w:p w14:paraId="16DAACE1" w14:textId="77777777" w:rsidR="005D314E" w:rsidRPr="00576C3D" w:rsidRDefault="005D314E" w:rsidP="00576C3D">
      <w:r w:rsidRPr="00576C3D">
        <w:t>Det følger av sikker konstitusjonell praksis at Stortinget etter Grunnloven § 26 andre ledd med alminnelig flertall kan samtykke til myndighetsoverføring som er «lite inngripende». Denne læren er over tid utviklet av Stortinget i samspill med regjeringen og Lovavdelingen i Justisdepartementet.</w:t>
      </w:r>
    </w:p>
    <w:p w14:paraId="5E26FB71" w14:textId="77777777" w:rsidR="005D314E" w:rsidRPr="00576C3D" w:rsidRDefault="005D314E" w:rsidP="00576C3D">
      <w:r w:rsidRPr="00576C3D">
        <w:t>Grunnlovens ordlyd gir ikke direkte veiledning for denne vurderingen, men det må tas utgangspunkt i den enkelte kompetansebestemmelse i Grunnloven som det er tale om å gripe inn i. Gjennom praksis har det blitt identifisert en rekke momenter som er relevante i vurderingen, blant annet arten og omfanget av myndigheten som overføres, om overføringen gjelder et bestemt og avgrenset saksområde, om den er basert på gjensidighet og likeverdig deltakelse, hvilke samfunnsmessige og politiske interesser som berøres, samt i hvilken grad norske myndigheter kan motvirke uheldige virkninger av myndighetsoverføringen. I jernbanebetenkningen punkt 4 og ACER-dommen avsnitt 221 slutter Høyesterett seg til Lovavdelingens oppsummering av disse momentene i tolkningsuttalelsen 30. mai 2017 (JDLOV-2015-6464). Høyesterett har i HR-2021-655-P punkt 4 og HR-2023-2030-P avsnitt 222 uttalt at den «reelle samfunnsmessige betydningen av den konkrete myndighetsoverføringen må tillegges stor vekt».</w:t>
      </w:r>
    </w:p>
    <w:p w14:paraId="188917BD" w14:textId="77777777" w:rsidR="005D314E" w:rsidRPr="00576C3D" w:rsidRDefault="005D314E" w:rsidP="00576C3D">
      <w:pPr>
        <w:pStyle w:val="Overskrift4"/>
      </w:pPr>
      <w:r w:rsidRPr="00576C3D">
        <w:t>Kommisjonens ansvar for overvåkning av import</w:t>
      </w:r>
    </w:p>
    <w:p w14:paraId="5E606089" w14:textId="77777777" w:rsidR="005D314E" w:rsidRPr="00576C3D" w:rsidRDefault="005D314E" w:rsidP="00576C3D">
      <w:r w:rsidRPr="00576C3D">
        <w:t>CBAM-forordningen gir Kommisjonen ansvar for blant annet å overvåke import av CBAM-varer på tvers av medlemsland og rapportere uønsket aktivitet til ansvarlige myndigheter. Endringsforordningen om forenklinger innfører også en nedre importgrense som Kommisjonen skal overvåke. Det er imidlertid ansvarlige myndigheter som har kompetanse til å fatte beslutninger om autorisasjon og tilbakekall (artikkel 17), manglende CBAM-sertifikater på konto (artikkel 22 nr. 3), overtredelse av den nedre importgrensen (artikkel 25 a nr. 3 i endringsforordningen om forenklinger) og overtredelsesgebyr (artikkel 26 nr. 4). Ansvarlige myndigheter vil ofte måtte basere seg på informasjon fra Kommisjonen, eksempelvis tolldata fra medlemsland og utslippsdata fra anlegg i tredjeland. All myndighetsutøvelse foretas imidlertid av norske statsorganer, og Kommisjonen treffer ingen bindende avgjørelser med virkning for norske aktører. Det foreligger dermed ikke overføring av myndighet til Kommisjonen. Ansvarlig myndighet i Norge vil være underlagt saksbehandlingsreglene i forvaltningsloven, herunder utredningsplikten i forvaltningsloven § 17. Dersom det er grunn til å tro at opplysninger fra Kommisjonen må undersøkes nærmere vil ansvarlig myndighet ha en plikt til å gjøre dette.</w:t>
      </w:r>
    </w:p>
    <w:p w14:paraId="32644E6C" w14:textId="77777777" w:rsidR="005D314E" w:rsidRPr="00576C3D" w:rsidRDefault="005D314E" w:rsidP="00576C3D">
      <w:pPr>
        <w:pStyle w:val="Overskrift4"/>
      </w:pPr>
      <w:r w:rsidRPr="00576C3D">
        <w:t>ESAs ansvar for overvåkning av omgåelse – artikkel 27</w:t>
      </w:r>
    </w:p>
    <w:p w14:paraId="4D21593A" w14:textId="77777777" w:rsidR="005D314E" w:rsidRPr="00576C3D" w:rsidRDefault="005D314E" w:rsidP="00576C3D">
      <w:r w:rsidRPr="00576C3D">
        <w:t>Kommisjonen har også en rolle i å overvåke omgåelse av CBAM-regelverket etter CBAM-forordningen artikkel 27. Det legges opp til at ESA gjennom tilpasningstekst vil få denne kompetansen for EØS/EFTA-statene. ESA vil etter artikkel 27 nr. 5 kunne iverksette undersøkelser dersom de har blitt varslet av en medlemsstat, eller hvor det anses som nødvendig. Det er ikke spesifisert i forordningen hva som ligger i nødvendighetsbegrensningen, men lest i sammenheng med resten av artikkel 27 tyder den på at ESA kun skal iverksette undersøkelser dersom de har mistanke om omgåelse av regelverket. Dersom det iverksettes undersøkelser, kan ESA be om bistand fra ansvarlige myndigheter og tollmyndigheter. Resultatet av undersøkelsen formidles til ansvarlig myndighet i det medlemslandet hvor importøren eller CBAM-</w:t>
      </w:r>
      <w:proofErr w:type="spellStart"/>
      <w:r w:rsidRPr="00576C3D">
        <w:t>deklaranten</w:t>
      </w:r>
      <w:proofErr w:type="spellEnd"/>
      <w:r w:rsidRPr="00576C3D">
        <w:t xml:space="preserve"> er etablert. Departementet forstår det slik at ESA ikke kan rette pålegg overfor importørene eller CBAM-</w:t>
      </w:r>
      <w:proofErr w:type="spellStart"/>
      <w:r w:rsidRPr="00576C3D">
        <w:t>deklarantene</w:t>
      </w:r>
      <w:proofErr w:type="spellEnd"/>
      <w:r w:rsidRPr="00576C3D">
        <w:t xml:space="preserve"> i forbindelse med undersøkelsene, og at ESA heller ikke fatter vedtak overfor disse basert på resultatene av undersøkelsene. Etter departementets syn er det dermed tvilsomt at artikkel 27 innebærer overføring av myndighet til å treffe avgjørelser direkte overfor private rettssubjekter i Norge. Dersom det er snakk om myndighetsoverføring, vil den i alle tilfeller være meget begrenset.</w:t>
      </w:r>
    </w:p>
    <w:p w14:paraId="1368F7AA" w14:textId="77777777" w:rsidR="005D314E" w:rsidRPr="00576C3D" w:rsidRDefault="005D314E" w:rsidP="00576C3D">
      <w:pPr>
        <w:pStyle w:val="Overskrift4"/>
      </w:pPr>
      <w:r w:rsidRPr="00576C3D">
        <w:t>ESAs adgang til å gjennomføre stedlig tilsyn – artikkel 19</w:t>
      </w:r>
    </w:p>
    <w:p w14:paraId="3CF1F652" w14:textId="77777777" w:rsidR="005D314E" w:rsidRPr="00576C3D" w:rsidRDefault="005D314E" w:rsidP="00576C3D">
      <w:r w:rsidRPr="00576C3D">
        <w:t>ESA får adgang til å gjennomføre stedlige tilsyn hos norske aktører dersom innrapportert informasjon fra CBAM-</w:t>
      </w:r>
      <w:proofErr w:type="spellStart"/>
      <w:r w:rsidRPr="00576C3D">
        <w:t>deklaranter</w:t>
      </w:r>
      <w:proofErr w:type="spellEnd"/>
      <w:r w:rsidRPr="00576C3D">
        <w:t xml:space="preserve"> eller tollmyndighetene gir grunn til å tro at informasjonen oppgitt i CBAM-erklæringene er feil, jf. artikkel 19 nr. 2 i CBAM-forordningen og tilpasning artikkel 1 bokstav m punkt ii. Dette innebærer overføring av forvaltningsmyndighet etter Grunnloven § 3. Etter departementets syn er denne myndighetsoverføringen «lite inngripende», og Stortinget kan derfor samtykke til innlemmelse av CBAM-forordningen med alminnelig flertall, jf. Grunnloven § 26 andre ledd.</w:t>
      </w:r>
    </w:p>
    <w:p w14:paraId="29837F28" w14:textId="77777777" w:rsidR="005D314E" w:rsidRPr="00576C3D" w:rsidRDefault="005D314E" w:rsidP="00576C3D">
      <w:r w:rsidRPr="00576C3D">
        <w:t xml:space="preserve">Adgangen til å føre stedlig tilsyn er en tilsynskompetanse som normalt anses for å være av mer inngripende karakter, se Lovavdelingens tolkningsuttalelse 15. september 2014 (JDLOV-2010-10039D) punkt 3.5. I disse tilfellene får det konkrete omfanget av myndighetsoverføringen stor betydning for om den kan anses «lite inngripende». Når myndighetsoverføringen har et begrenset saklig virkeområde og tilsynsobjektene som det er aktuelt å føre tilsyn med, utgjør en begrenset krets, har Stortinget i flere tilfeller samtykket etter Grunnloven § 26 andre ledd til overføring av tilsynskompetanse som inkluderer adgang til å foreta stedlig kontroll, blant annet følgende saker: forordning (EF) nr. 216/2008 (EASA-forordningen), jf. St.prp. nr. 44 (2004–2005) og </w:t>
      </w:r>
      <w:proofErr w:type="spellStart"/>
      <w:r w:rsidRPr="00576C3D">
        <w:t>Innst</w:t>
      </w:r>
      <w:proofErr w:type="spellEnd"/>
      <w:r w:rsidRPr="00576C3D">
        <w:t>. S. 164 (2004–2005), forordning (EU) 2017/2402 (</w:t>
      </w:r>
      <w:proofErr w:type="spellStart"/>
      <w:r w:rsidRPr="00576C3D">
        <w:t>verdipapiriseringsforordningen</w:t>
      </w:r>
      <w:proofErr w:type="spellEnd"/>
      <w:r w:rsidRPr="00576C3D">
        <w:t xml:space="preserve">), jf. </w:t>
      </w:r>
      <w:proofErr w:type="spellStart"/>
      <w:r w:rsidRPr="00576C3D">
        <w:t>Prop</w:t>
      </w:r>
      <w:proofErr w:type="spellEnd"/>
      <w:r w:rsidRPr="00576C3D">
        <w:t xml:space="preserve">. 46 LS (2024–2025) og </w:t>
      </w:r>
      <w:proofErr w:type="spellStart"/>
      <w:r w:rsidRPr="00576C3D">
        <w:t>Innst</w:t>
      </w:r>
      <w:proofErr w:type="spellEnd"/>
      <w:r w:rsidRPr="00576C3D">
        <w:t xml:space="preserve">. 188 S (2024–2025), forordning (EU) 2022/2554 (DORA-forordningen), jf. </w:t>
      </w:r>
      <w:proofErr w:type="spellStart"/>
      <w:r w:rsidRPr="00576C3D">
        <w:t>Prop</w:t>
      </w:r>
      <w:proofErr w:type="spellEnd"/>
      <w:r w:rsidRPr="00576C3D">
        <w:t xml:space="preserve">. 54 LS (2024–2025) og </w:t>
      </w:r>
      <w:proofErr w:type="spellStart"/>
      <w:r w:rsidRPr="00576C3D">
        <w:t>Innst</w:t>
      </w:r>
      <w:proofErr w:type="spellEnd"/>
      <w:r w:rsidRPr="00576C3D">
        <w:t>. 272 S (2024–2025), og forordning (EU) 2023/1114 (</w:t>
      </w:r>
      <w:proofErr w:type="spellStart"/>
      <w:r w:rsidRPr="00576C3D">
        <w:t>MiCA</w:t>
      </w:r>
      <w:proofErr w:type="spellEnd"/>
      <w:r w:rsidRPr="00576C3D">
        <w:t xml:space="preserve">-forordningen), jf. </w:t>
      </w:r>
      <w:proofErr w:type="spellStart"/>
      <w:r w:rsidRPr="00576C3D">
        <w:t>Prop</w:t>
      </w:r>
      <w:proofErr w:type="spellEnd"/>
      <w:r w:rsidRPr="00576C3D">
        <w:t xml:space="preserve">. 55 LS (2024–2025) og </w:t>
      </w:r>
      <w:proofErr w:type="spellStart"/>
      <w:r w:rsidRPr="00576C3D">
        <w:t>Innst</w:t>
      </w:r>
      <w:proofErr w:type="spellEnd"/>
      <w:r w:rsidRPr="00576C3D">
        <w:t>. 264 S (2024–2025).</w:t>
      </w:r>
    </w:p>
    <w:p w14:paraId="34B1F36E" w14:textId="77777777" w:rsidR="005D314E" w:rsidRPr="00576C3D" w:rsidRDefault="005D314E" w:rsidP="00576C3D">
      <w:r w:rsidRPr="00576C3D">
        <w:t>Tilsynsregimet under CBAM-forordningen har på samme måte som disse sakene et avgrenset anvendelsesområde. Det er kun aktuelt med stedlig tilsyn av autoriserte CBAM-</w:t>
      </w:r>
      <w:proofErr w:type="spellStart"/>
      <w:r w:rsidRPr="00576C3D">
        <w:t>deklaranter</w:t>
      </w:r>
      <w:proofErr w:type="spellEnd"/>
      <w:r w:rsidRPr="00576C3D">
        <w:t>, som utgjør en særlig avgrenset personkrets. Personkretsen er ytterligere begrenset av den nedre importgrensen som medfører en reduksjon i antall norske importører som omfattes av CBAM-forordningen fra 8 000 til 350. Adgangen til å foreta stedlig kontroll er videre rammet inn på flere måter.</w:t>
      </w:r>
    </w:p>
    <w:p w14:paraId="29D48AE5" w14:textId="77777777" w:rsidR="005D314E" w:rsidRPr="00576C3D" w:rsidRDefault="005D314E" w:rsidP="00576C3D">
      <w:r w:rsidRPr="00576C3D">
        <w:t>For det første er det kun aktuelt med stedlig tilsyn i løpet av fire år etter at CBAM-erklæringene skulle ha vært innsendt.</w:t>
      </w:r>
    </w:p>
    <w:p w14:paraId="59E1350D" w14:textId="77777777" w:rsidR="005D314E" w:rsidRPr="00576C3D" w:rsidRDefault="005D314E" w:rsidP="00576C3D">
      <w:r w:rsidRPr="00576C3D">
        <w:t>For det andre skal stedlig tilsyn kun gjennomføres dersom det er «nødvendig». Det er ikke spesifisert i CBAM-forordningen hva som ligger i nødvendighetsbegrensingen, men lest i sammenheng med resten av artikkel 19 tyder den på at stedlig tilsyn kun er aktuelt å gjennomføre dersom innrapportert informasjon fra CBAM-</w:t>
      </w:r>
      <w:proofErr w:type="spellStart"/>
      <w:r w:rsidRPr="00576C3D">
        <w:t>deklaranten</w:t>
      </w:r>
      <w:proofErr w:type="spellEnd"/>
      <w:r w:rsidRPr="00576C3D">
        <w:t xml:space="preserve"> eller tollmyndighetene ikke er tilstrekkelig for å vurdere om forpliktelsen til å levere et tilstrekkelig antall CBAM-sertifikater er oppfylt. Departementet antar derfor at ESA ikke vil gjennomføre stedlig tilsyn dersom det på andre måter er gitt tilstrekkelig informasjon. I den grad tollmyndighetene sitter på den nødvendige informasjonen, avbøter dette noe på de eventuelt uheldige virkningene myndighetsoverføringen kan ha.</w:t>
      </w:r>
    </w:p>
    <w:p w14:paraId="2FBD26F7" w14:textId="77777777" w:rsidR="005D314E" w:rsidRPr="00576C3D" w:rsidRDefault="005D314E" w:rsidP="00576C3D">
      <w:r w:rsidRPr="00576C3D">
        <w:t>For det tredje skal ESA videreformidle resultatet av den stedlige kontrollen til ansvarlig myndighet, som har kompetanse til å vurdere resultatet av tilsynet og fatte eventuelle vedtak. Dette omfatter både vedtak om at det ikke er levert inn tilstrekkelig antall CBAM-sertifikater sammenlignet med utslippene fra de importerte CBAM-varene (artikkel 19 nr. 5), og eventuelle påfølgende vedtak om overtredelsesgebyr (artikkel 26 nr. 4). Ettersom ESA ikke selv skal bruke resultatet av den stedlige kontrollen, men skal inngå i ansvarlig myndighets videre saksbehandling, bidrar også dette til å motvirke eventuelle uheldige virkninger av myndighetsoverføringen.</w:t>
      </w:r>
    </w:p>
    <w:p w14:paraId="068C9326" w14:textId="77777777" w:rsidR="005D314E" w:rsidRPr="00576C3D" w:rsidRDefault="005D314E" w:rsidP="00576C3D">
      <w:r w:rsidRPr="00576C3D">
        <w:t>Samlet sett er ESAs adgang til å foreta stedlig tilsyn relativt begrenset. Tilsynet kan bare rettes mot en snever personkrets, og bare når innholdet i CBAM-erklæringen eller opplysninger innrapportert fra tollmyndigheten gjør det nødvendig. Det er ansvarlig myndighet som vurderer ESAs funn som ledd i videre saksbehandling, og som eventuelt fatter vedtak om manglende innlevering av CBAM-sertifikater og overtredelsesgebyr. Også arten av de samfunnsmessige og politiske interessene som berøres, taler for at myndighetsoverføringen må anses som «lite inngripende».</w:t>
      </w:r>
    </w:p>
    <w:p w14:paraId="59F5BBDF" w14:textId="77777777" w:rsidR="005D314E" w:rsidRPr="00576C3D" w:rsidRDefault="005D314E" w:rsidP="00576C3D">
      <w:r w:rsidRPr="00576C3D">
        <w:t>Basert på dette vurderer departementet at samtykke til innlemmelse av (EU) 2023/956 og (EU) 2025/2083 i EØS-avtalen kan innhentes med simpelt flertall på Stortinget.</w:t>
      </w:r>
    </w:p>
    <w:p w14:paraId="43353427" w14:textId="77777777" w:rsidR="005D314E" w:rsidRPr="00576C3D" w:rsidRDefault="005D314E" w:rsidP="00576C3D">
      <w:pPr>
        <w:pStyle w:val="Overskrift2"/>
      </w:pPr>
      <w:r w:rsidRPr="00576C3D">
        <w:t>Andre konsekvenser av innlemmelse av CBAM-forordningen</w:t>
      </w:r>
    </w:p>
    <w:p w14:paraId="6B1E8359" w14:textId="77777777" w:rsidR="005D314E" w:rsidRPr="00576C3D" w:rsidRDefault="005D314E" w:rsidP="00576C3D">
      <w:pPr>
        <w:pStyle w:val="Overskrift3"/>
      </w:pPr>
      <w:r w:rsidRPr="00576C3D">
        <w:t>Forholdet til WTO-retten</w:t>
      </w:r>
    </w:p>
    <w:p w14:paraId="0CA1DC9B" w14:textId="77777777" w:rsidR="005D314E" w:rsidRPr="00576C3D" w:rsidRDefault="005D314E" w:rsidP="00576C3D">
      <w:r w:rsidRPr="00576C3D">
        <w:t>Som medlem i Verdens handelsorganisasjon (WTO) er Norge blant annet part i Generalavtalen om tolltariffer og handel 1994 (GATT 1994). I vurderingen av om CBAM samsvarer med WTO-regelverket, legger departementet vekt på betydningen av CBAM som et klimatiltak. Det legges opp til at ordningen innføres i Norge på tilsvarende måte som i EU. I EU er CBAM ansett som forenlig med WTO.</w:t>
      </w:r>
    </w:p>
    <w:p w14:paraId="3898CFBF" w14:textId="77777777" w:rsidR="005D314E" w:rsidRPr="00576C3D" w:rsidRDefault="005D314E" w:rsidP="00576C3D">
      <w:r w:rsidRPr="00576C3D">
        <w:t>Når det gjelder prinsippet om nasjonal behandling (artikkel III i GATT 1994) legger departementet vekt på at ordningen ikke skal behandle importerte produkter mindre gunstig enn innenlandske produkter. Når det gjelder bestevilkårsprinsippet (MFN) i GATT 1994 artikkel I:1 innebærer ordningen at samme karbonpris anvendes på importerte varer, uavhengig av opprinnelsesland. Etter departementets syn vil CBAM uansett kunne rettferdiggjøres på grunnlag av unntaksbestemmelsen i GATT 1994 artikkel XX, knyttet til beskyttelse av menneske-, dyre-, planteliv og -helse og bevaring av ikke-fornybare naturressurser, jf. bokstav b og g.</w:t>
      </w:r>
    </w:p>
    <w:p w14:paraId="59669705" w14:textId="77777777" w:rsidR="005D314E" w:rsidRPr="00576C3D" w:rsidRDefault="005D314E" w:rsidP="00576C3D">
      <w:r w:rsidRPr="00576C3D">
        <w:t>En nærmere vurdering av CBAM opp mot WTO-regelverket vil kunne bero på hvordan ordningen gjennomføres og praktiseres. Nærmere detaljer av betydning for hvordan ordningen rent faktisk vil virke, vil bero på innholdet i fremtidige underliggende rettsakter som forventes vedtatt i EU, og som vil være aktuelle for innlemmelse i EØS-avtalen.</w:t>
      </w:r>
    </w:p>
    <w:p w14:paraId="4FBC8357" w14:textId="77777777" w:rsidR="005D314E" w:rsidRPr="00576C3D" w:rsidRDefault="005D314E" w:rsidP="00576C3D">
      <w:pPr>
        <w:pStyle w:val="Overskrift2"/>
      </w:pPr>
      <w:r w:rsidRPr="00576C3D">
        <w:t>Tilråding</w:t>
      </w:r>
    </w:p>
    <w:p w14:paraId="0E07895C" w14:textId="77777777" w:rsidR="005D314E" w:rsidRPr="00576C3D" w:rsidRDefault="005D314E" w:rsidP="00576C3D">
      <w:r w:rsidRPr="00576C3D">
        <w:t>Klima- og miljødepartementet tilrår at Norge deltar i en beslutning i EØS-komiteen om innlemmelse av forordning (EU) 2023/956 og forordning (EU) 2025/2083 i EØS-avtalen.</w:t>
      </w:r>
    </w:p>
    <w:p w14:paraId="522D3F59" w14:textId="6C65E9BF" w:rsidR="005D314E" w:rsidRPr="00576C3D" w:rsidRDefault="005D314E" w:rsidP="00576C3D">
      <w:pPr>
        <w:pStyle w:val="Overskrift1"/>
      </w:pPr>
      <w:r w:rsidRPr="00576C3D">
        <w:t>Samtykke til deltakelse i en beslutning i EØS-komiteen om tilgang til og finansiering av IT-tekniske systemer i CBAM i EØS-avtalen</w:t>
      </w:r>
    </w:p>
    <w:p w14:paraId="2CE42AA0" w14:textId="77777777" w:rsidR="005D314E" w:rsidRPr="00576C3D" w:rsidRDefault="005D314E" w:rsidP="00576C3D">
      <w:r w:rsidRPr="00576C3D">
        <w:t>Forvaltningen av CBAM krever bruk av flere IT-systemer. Dette omfatter CBAM-registeret og salgsplattformen, som er spesifikt etablert for CBAM, samt andre støttesystemer som er tilknyttet tollbehandling i EU, men som det også trekkes på for å støtte opp under utførelse av oppgaver i CBAM. EØS/EFTA-statene og deres økonomiske operatører skal ha tilgang til og kunne bruke disse systemene. EØS/EFTA-statene bør på lik linje med EU-statene bidra finansielt til etablering, drift og vedlikehold av disse systemene. Videre bør EØS/EFTA-statene finansiere investeringer EU må gjøre for at systemene skal kunne anvendes av EØS/EFTA-statene slik at CBAM fungerer på tvers av EØS som et fullharmonisert system. EØS/EFTA-statene må selv bære kostnader ved utvikling, drift og vedlikehold av nasjonale komponenter av systemene.</w:t>
      </w:r>
    </w:p>
    <w:p w14:paraId="4844082D" w14:textId="77777777" w:rsidR="005D314E" w:rsidRPr="00576C3D" w:rsidRDefault="005D314E" w:rsidP="00576C3D">
      <w:r w:rsidRPr="00576C3D">
        <w:t>Utkast til en EØS-komitébeslutning om EØS/EFTA-statenes og deres økonomiske operatørers tilgang til og bruk av IT-tekniske systemer i CBAM, og EØS/EFTA-statenes bidrag til finansiering av dem som følge av dette, følger vedlagt proposisjonen. Utkastet baserer seg i all hovedsak på eksisterende finansieringsløsninger under EØS-avtalen, herunder artikkel 82 og protokoll 31, samt protokoll 10.</w:t>
      </w:r>
    </w:p>
    <w:p w14:paraId="74FA8E32" w14:textId="77777777" w:rsidR="005D314E" w:rsidRPr="00576C3D" w:rsidRDefault="005D314E" w:rsidP="00576C3D">
      <w:r w:rsidRPr="00576C3D">
        <w:t>På det tidspunktet proposisjonen fremmes til Stortinget, foreligger det ikke et endelig utkast til behandling i EUs organer. Vedlagt utkast er basert på forutgående dialog med EU. Det forventes derfor ikke vesentlige materielle endringer frem mot endelig beslutning i EØS-komiteen. For å legge til rette for at Norge kan innføre CBAM fullt ut fra 2027, legges det opp til at Stortingets samtykke innhentes før beslutningen er fattet i EØS-komiteen. Dersom den endelige beslutningen skulle avvike vesentlig fra utkastet som er lagt frem i denne proposisjonen, vil saken bli fremlagt for Stortinget på nytt.</w:t>
      </w:r>
    </w:p>
    <w:p w14:paraId="4B2E0AED" w14:textId="77777777" w:rsidR="005D314E" w:rsidRPr="00576C3D" w:rsidRDefault="005D314E" w:rsidP="00576C3D">
      <w:r w:rsidRPr="00576C3D">
        <w:t>Klima- og miljødepartementet tilrår at Norge deltar i en beslutning i EØS-komiteen om innlemmelse i EØS-avtalen om tilgang til og finansiering av IT-tekniske systemer i CBAM.</w:t>
      </w:r>
    </w:p>
    <w:p w14:paraId="2388B254" w14:textId="77777777" w:rsidR="005D314E" w:rsidRPr="00576C3D" w:rsidRDefault="005D314E" w:rsidP="00576C3D">
      <w:pPr>
        <w:pStyle w:val="Overskrift1"/>
      </w:pPr>
      <w:r w:rsidRPr="00576C3D">
        <w:t>Økonomiske og administrative konsekvenser</w:t>
      </w:r>
    </w:p>
    <w:p w14:paraId="4E2E01C7" w14:textId="77777777" w:rsidR="005D314E" w:rsidRPr="00576C3D" w:rsidRDefault="005D314E" w:rsidP="00576C3D">
      <w:pPr>
        <w:pStyle w:val="Overskrift2"/>
      </w:pPr>
      <w:r w:rsidRPr="00576C3D">
        <w:t>Generelt</w:t>
      </w:r>
    </w:p>
    <w:p w14:paraId="56071126" w14:textId="77777777" w:rsidR="005D314E" w:rsidRPr="00576C3D" w:rsidRDefault="005D314E" w:rsidP="00576C3D">
      <w:r w:rsidRPr="00576C3D">
        <w:t>CBAM får økonomiske og administrative konsekvenser for norske aktører som importerer CBAM-varer og offentlig sektors arbeid med håndhevelsen av regelverket. Hvordan konsekvensene treffer aktørene avhenger av adferdsendringer som følge av innføringen og dynamikken i markedene (se punkt 8.3), karbonpris betalt i produksjonslandet og fremtidig utvikling av regelverket.</w:t>
      </w:r>
    </w:p>
    <w:p w14:paraId="6829C12F" w14:textId="77777777" w:rsidR="005D314E" w:rsidRPr="00576C3D" w:rsidRDefault="005D314E" w:rsidP="00576C3D">
      <w:proofErr w:type="spellStart"/>
      <w:r w:rsidRPr="00576C3D">
        <w:t>CBAMs</w:t>
      </w:r>
      <w:proofErr w:type="spellEnd"/>
      <w:r w:rsidRPr="00576C3D">
        <w:t xml:space="preserve"> påvirkning på aggregerte utslipp, produksjon og makroøkonomien i Norge har blitt analysert av Statistisk Sentralbyrå (SSB) i rapporten «</w:t>
      </w:r>
      <w:proofErr w:type="spellStart"/>
      <w:r w:rsidRPr="00576C3D">
        <w:t>EU’s</w:t>
      </w:r>
      <w:proofErr w:type="spellEnd"/>
      <w:r w:rsidRPr="00576C3D">
        <w:t xml:space="preserve"> suggested </w:t>
      </w:r>
      <w:proofErr w:type="spellStart"/>
      <w:r w:rsidRPr="00576C3D">
        <w:t>carbon</w:t>
      </w:r>
      <w:proofErr w:type="spellEnd"/>
      <w:r w:rsidRPr="00576C3D">
        <w:t xml:space="preserve"> border </w:t>
      </w:r>
      <w:proofErr w:type="spellStart"/>
      <w:r w:rsidRPr="00576C3D">
        <w:t>adjustment</w:t>
      </w:r>
      <w:proofErr w:type="spellEnd"/>
      <w:r w:rsidRPr="00576C3D">
        <w:t xml:space="preserve"> </w:t>
      </w:r>
      <w:proofErr w:type="spellStart"/>
      <w:r w:rsidRPr="00576C3D">
        <w:t>mechanism</w:t>
      </w:r>
      <w:proofErr w:type="spellEnd"/>
      <w:r w:rsidRPr="00576C3D">
        <w:t xml:space="preserve">: </w:t>
      </w:r>
      <w:proofErr w:type="spellStart"/>
      <w:r w:rsidRPr="00576C3D">
        <w:t>Impact</w:t>
      </w:r>
      <w:proofErr w:type="spellEnd"/>
      <w:r w:rsidRPr="00576C3D">
        <w:t xml:space="preserve"> </w:t>
      </w:r>
      <w:proofErr w:type="spellStart"/>
      <w:r w:rsidRPr="00576C3D">
        <w:t>on</w:t>
      </w:r>
      <w:proofErr w:type="spellEnd"/>
      <w:r w:rsidRPr="00576C3D">
        <w:t xml:space="preserve"> Norwegian </w:t>
      </w:r>
      <w:proofErr w:type="spellStart"/>
      <w:r w:rsidRPr="00576C3D">
        <w:t>industries</w:t>
      </w:r>
      <w:proofErr w:type="spellEnd"/>
      <w:r w:rsidRPr="00576C3D">
        <w:t>» fra 2022. Innretningen på CBAM i SSBs modellering er riktignok noe annerledes enn slik den er utformet i dag. Rapporten gir likevel indikasjoner på hvordan innføringen av CBAM parallelt med utfasing av vederlagsfri tildeling av kvoter i klimakvotesystemet vil påvirke Norge. Reglene for utfasingen av vederlagsfri tildeling i klimakvotesystemet er innført i norsk rett i klimakvoteforskriften. Se nærmere om konsekvensene av dette i høringsnotat av 6. oktober 2023 om forslag til endringer i klimakvoteforskriften og miljøsikkerhetsforskriften.</w:t>
      </w:r>
    </w:p>
    <w:p w14:paraId="24E514DF" w14:textId="77777777" w:rsidR="005D314E" w:rsidRPr="00576C3D" w:rsidRDefault="005D314E" w:rsidP="00576C3D">
      <w:r w:rsidRPr="00576C3D">
        <w:t>SSBs analyse viser at utslipp fra norsk produksjon av CBAM-varer vil være omtrent 0,6 pst. lavere sammenlignet med et referansescenario der dagens tildeling av vederlagsfrie kvoter videreføres. Den samlede produksjonen av CBAM-varer i Norge anslås å være 0,4 pst. lavere i 2030. Dette tyder på at innføringen av CBAM vil få liten effekt på produksjonsnivåer av CBAM-varer. Innføringen forventes også å ha svært liten påvirkning på makroøkonomien i Norge. Modelleringen viser at CBAM forventes å føre til at BNP for Norge i 2030 er omtrent uendret sammenlignet med referansescenariet. Virkningene på import og eksport er samlet sett også små. Siden utfasingen av vederlagsfrie kvoter vil skje uavhengig av om Norge innfører CBAM er ikke disse resultatene representative for effekten av CBAM isolert sett.</w:t>
      </w:r>
    </w:p>
    <w:p w14:paraId="035E7EF7" w14:textId="77777777" w:rsidR="005D314E" w:rsidRPr="00576C3D" w:rsidRDefault="005D314E" w:rsidP="00576C3D">
      <w:r w:rsidRPr="00576C3D">
        <w:t>Til tross for små endringer i de aggregerte størrelsene av norsk økonomi anses CBAM som viktig for å sikre like konkurransevilkår for norsk næringsliv som i EU. Innføringen av CBAM har som formål at produsenter av CBAM-varer som omsettes i EØS betaler den samme prisen på utslipp, og at anlegg med lik utslippsintensitet betaler for en lik andel av utslippene.</w:t>
      </w:r>
    </w:p>
    <w:p w14:paraId="5B3975F0" w14:textId="77777777" w:rsidR="005D314E" w:rsidRPr="00576C3D" w:rsidRDefault="005D314E" w:rsidP="00576C3D">
      <w:r w:rsidRPr="00576C3D">
        <w:t xml:space="preserve">Kommisjonen publiserte 17. desember 2025 rapporten «Report from </w:t>
      </w:r>
      <w:proofErr w:type="spellStart"/>
      <w:r w:rsidRPr="00576C3D">
        <w:t>the</w:t>
      </w:r>
      <w:proofErr w:type="spellEnd"/>
      <w:r w:rsidRPr="00576C3D">
        <w:t xml:space="preserve"> Commission to </w:t>
      </w:r>
      <w:proofErr w:type="spellStart"/>
      <w:r w:rsidRPr="00576C3D">
        <w:t>the</w:t>
      </w:r>
      <w:proofErr w:type="spellEnd"/>
      <w:r w:rsidRPr="00576C3D">
        <w:t xml:space="preserve"> European Parliament and </w:t>
      </w:r>
      <w:proofErr w:type="spellStart"/>
      <w:r w:rsidRPr="00576C3D">
        <w:t>the</w:t>
      </w:r>
      <w:proofErr w:type="spellEnd"/>
      <w:r w:rsidRPr="00576C3D">
        <w:t xml:space="preserve"> Council </w:t>
      </w:r>
      <w:proofErr w:type="spellStart"/>
      <w:r w:rsidRPr="00576C3D">
        <w:t>on</w:t>
      </w:r>
      <w:proofErr w:type="spellEnd"/>
      <w:r w:rsidRPr="00576C3D">
        <w:t xml:space="preserve"> </w:t>
      </w:r>
      <w:proofErr w:type="spellStart"/>
      <w:r w:rsidRPr="00576C3D">
        <w:t>the</w:t>
      </w:r>
      <w:proofErr w:type="spellEnd"/>
      <w:r w:rsidRPr="00576C3D">
        <w:t xml:space="preserve"> </w:t>
      </w:r>
      <w:proofErr w:type="spellStart"/>
      <w:r w:rsidRPr="00576C3D">
        <w:t>application</w:t>
      </w:r>
      <w:proofErr w:type="spellEnd"/>
      <w:r w:rsidRPr="00576C3D">
        <w:t xml:space="preserve"> </w:t>
      </w:r>
      <w:proofErr w:type="spellStart"/>
      <w:r w:rsidRPr="00576C3D">
        <w:t>of</w:t>
      </w:r>
      <w:proofErr w:type="spellEnd"/>
      <w:r w:rsidRPr="00576C3D">
        <w:t xml:space="preserve"> </w:t>
      </w:r>
      <w:proofErr w:type="spellStart"/>
      <w:r w:rsidRPr="00576C3D">
        <w:t>the</w:t>
      </w:r>
      <w:proofErr w:type="spellEnd"/>
      <w:r w:rsidRPr="00576C3D">
        <w:t xml:space="preserve"> </w:t>
      </w:r>
      <w:proofErr w:type="spellStart"/>
      <w:r w:rsidRPr="00576C3D">
        <w:t>Regulation</w:t>
      </w:r>
      <w:proofErr w:type="spellEnd"/>
      <w:r w:rsidRPr="00576C3D">
        <w:t xml:space="preserve"> </w:t>
      </w:r>
      <w:proofErr w:type="spellStart"/>
      <w:r w:rsidRPr="00576C3D">
        <w:t>on</w:t>
      </w:r>
      <w:proofErr w:type="spellEnd"/>
      <w:r w:rsidRPr="00576C3D">
        <w:t xml:space="preserve"> </w:t>
      </w:r>
      <w:proofErr w:type="spellStart"/>
      <w:r w:rsidRPr="00576C3D">
        <w:t>the</w:t>
      </w:r>
      <w:proofErr w:type="spellEnd"/>
      <w:r w:rsidRPr="00576C3D">
        <w:t xml:space="preserve"> </w:t>
      </w:r>
      <w:proofErr w:type="spellStart"/>
      <w:r w:rsidRPr="00576C3D">
        <w:t>Carbon</w:t>
      </w:r>
      <w:proofErr w:type="spellEnd"/>
      <w:r w:rsidRPr="00576C3D">
        <w:t xml:space="preserve"> Border </w:t>
      </w:r>
      <w:proofErr w:type="spellStart"/>
      <w:r w:rsidRPr="00576C3D">
        <w:t>Adjustment</w:t>
      </w:r>
      <w:proofErr w:type="spellEnd"/>
      <w:r w:rsidRPr="00576C3D">
        <w:t xml:space="preserve"> </w:t>
      </w:r>
      <w:proofErr w:type="spellStart"/>
      <w:r w:rsidRPr="00576C3D">
        <w:t>Mechanism</w:t>
      </w:r>
      <w:proofErr w:type="spellEnd"/>
      <w:r w:rsidRPr="00576C3D">
        <w:t xml:space="preserve">». Rapporten gjennomgår </w:t>
      </w:r>
      <w:proofErr w:type="gramStart"/>
      <w:r w:rsidRPr="00576C3D">
        <w:t>anvendelsen</w:t>
      </w:r>
      <w:proofErr w:type="gramEnd"/>
      <w:r w:rsidRPr="00576C3D">
        <w:t xml:space="preserve"> av CBAM i overgangsperioden fra oktober 2023 til desember 2025. Kommisjonen peker på at CBAM har fremmet overvåking og rapportering av utslipp fra produksjonen av CBAM-varer fra hele verden. Videre hevder Kommisjonen at den nært forestående innføringen har økt insentivene til å redusere utslipp i importen til EU og bidratt til å fremme innføring av karbonprising globalt. Modellresultater viser samtidig at de økonomiske konsekvensene CBAM vil ha på minst utviklede land, utviklingsland og EUs naboland er relativt liten. Kommisjonen skriver videre at det forventes at innføringen av CBAM fra 2026 skal bidra til globale utslippsreduksjoner.</w:t>
      </w:r>
    </w:p>
    <w:p w14:paraId="466E5878" w14:textId="77777777" w:rsidR="005D314E" w:rsidRPr="00576C3D" w:rsidRDefault="005D314E" w:rsidP="00576C3D">
      <w:pPr>
        <w:pStyle w:val="Overskrift2"/>
      </w:pPr>
      <w:r w:rsidRPr="00576C3D">
        <w:t>Konsekvenser for offentlig sektor</w:t>
      </w:r>
    </w:p>
    <w:p w14:paraId="1244DD19" w14:textId="77777777" w:rsidR="005D314E" w:rsidRPr="00576C3D" w:rsidRDefault="005D314E" w:rsidP="00576C3D">
      <w:r w:rsidRPr="00576C3D">
        <w:t>Gjennomføring og forvaltning av CBAM i norsk rett gir økt administrativ byrde for departementene, ansvarlige myndigheter og Tolletaten. Overordnet er det behov for at Miljødirektoratet, Skatteetaten og Tolletaten etablerer systemer, og gir veiledning til berørte aktører, fører tilsyn med og håndhever regelverket.</w:t>
      </w:r>
    </w:p>
    <w:p w14:paraId="76E2B1F7" w14:textId="77777777" w:rsidR="005D314E" w:rsidRPr="00576C3D" w:rsidRDefault="005D314E" w:rsidP="00576C3D">
      <w:r w:rsidRPr="00576C3D">
        <w:t>II tillegg fører CBAM til økte kostnader knyttet til norsk påkobling til IT-infrastruktur administrert av Kommisjonen, herunder CBAM-registeret og salgsplattformen, og andre nødvendige støttesystemer. Dette er nødvendig for at CBAM skal fungere etter sin hensikt på tvers av EØS.</w:t>
      </w:r>
    </w:p>
    <w:p w14:paraId="71D23F2C" w14:textId="77777777" w:rsidR="005D314E" w:rsidRPr="00576C3D" w:rsidRDefault="005D314E" w:rsidP="00576C3D">
      <w:r w:rsidRPr="00576C3D">
        <w:t>Det vil også komme kostnader ved å etablere en teknisk løsning for at importører kan gi melding om vareførsel til kontinentalsokkelen og eksklusiv økonomisk sone, og til at norske aktører kan ta i bruk IT-systemer utviklet av EU for å autentisere og identifisere virksomheter (UUM&amp;DS).</w:t>
      </w:r>
    </w:p>
    <w:p w14:paraId="29CE714C" w14:textId="77777777" w:rsidR="005D314E" w:rsidRPr="00576C3D" w:rsidRDefault="005D314E" w:rsidP="00576C3D">
      <w:r w:rsidRPr="00576C3D">
        <w:t>Myndighetene er ansvarlig for salg av CBAM-sertifikater til CBAM-</w:t>
      </w:r>
      <w:proofErr w:type="spellStart"/>
      <w:r w:rsidRPr="00576C3D">
        <w:t>deklaranter</w:t>
      </w:r>
      <w:proofErr w:type="spellEnd"/>
      <w:r w:rsidRPr="00576C3D">
        <w:t xml:space="preserve"> etablert i Norge. Salg av CBAM-sertifikater vil gi inntekter til staten. Størrelsen på inntektene vil variere, og avhenger blant annet av utviklingen av kvoteprisen i klimakvotesystemet og størrelsen på karbonprisen i land utenfor EØS. Grove anslag for inntekter fra salg av CBAM-sertifikater til norske CBAM-</w:t>
      </w:r>
      <w:proofErr w:type="spellStart"/>
      <w:r w:rsidRPr="00576C3D">
        <w:t>deklaranter</w:t>
      </w:r>
      <w:proofErr w:type="spellEnd"/>
      <w:r w:rsidRPr="00576C3D">
        <w:t xml:space="preserve"> starter på rundt 600 mill. kroner i 2027, og øker deretter til omtrent 900 mill. kroner i 2031. Inntektene speiler utgiftene til CBAM-</w:t>
      </w:r>
      <w:proofErr w:type="spellStart"/>
      <w:r w:rsidRPr="00576C3D">
        <w:t>deklarantene</w:t>
      </w:r>
      <w:proofErr w:type="spellEnd"/>
      <w:r w:rsidRPr="00576C3D">
        <w:t xml:space="preserve">, se punkt 8.3.1. Anslaget inkluderer ikke salg av CBAM-sertifikater til import av elektrisitet. Staten får også inntekter fra eventuelle overtredelsesgebyr, men det er usikkert hvor mange overtredelsesgebyr myndighetene vil utstede og hvor mye inntekter dette vil </w:t>
      </w:r>
      <w:proofErr w:type="gramStart"/>
      <w:r w:rsidRPr="00576C3D">
        <w:t>generere</w:t>
      </w:r>
      <w:proofErr w:type="gramEnd"/>
      <w:r w:rsidRPr="00576C3D">
        <w:t>. Staten får også inntekter fra enkeltvedtak om tvangsmulkt der den ansvarlige ikke innretter seg slik at betaling unngås.</w:t>
      </w:r>
    </w:p>
    <w:p w14:paraId="6FDD4341" w14:textId="77777777" w:rsidR="005D314E" w:rsidRPr="00576C3D" w:rsidRDefault="005D314E" w:rsidP="00576C3D">
      <w:pPr>
        <w:pStyle w:val="Overskrift3"/>
      </w:pPr>
      <w:r w:rsidRPr="00576C3D">
        <w:t>Miljødirektoratet</w:t>
      </w:r>
    </w:p>
    <w:p w14:paraId="1669FBDE" w14:textId="77777777" w:rsidR="005D314E" w:rsidRPr="00576C3D" w:rsidRDefault="005D314E" w:rsidP="00576C3D">
      <w:r w:rsidRPr="00576C3D">
        <w:t>Miljødirektoratet skal være ansvarlig myndighet for kontroll av CBAM-erklæringer, kontroll av oppgjørsforpliktelsen, og fastsetting av overtredelsesgebyr etter artikkel 26 nr. 1 og 2. Miljødirektoratet vil delvis kunne dra nytte av kompetanse som allerede finnes i organisasjonen til å forvalte CBAM, men må på noen områder opparbeide seg ny. Det anslås at det vil være behov for rundt fem årsverk på lang sikt, men dette vil avhenge av hvordan regelverket utvikles i fremtiden. Oppgavene vil også kunne medføre enkelte IT-behov ut over dagens systemer.</w:t>
      </w:r>
    </w:p>
    <w:p w14:paraId="7AF032CF" w14:textId="77777777" w:rsidR="005D314E" w:rsidRPr="00576C3D" w:rsidRDefault="005D314E" w:rsidP="00576C3D">
      <w:r w:rsidRPr="00576C3D">
        <w:t>Kommisjonen har et overordnet ansvar for å vurdere CBAM-erklæringene, og skal varsle Miljødirektoratet dersom en CBAM-</w:t>
      </w:r>
      <w:proofErr w:type="spellStart"/>
      <w:r w:rsidRPr="00576C3D">
        <w:t>deklarant</w:t>
      </w:r>
      <w:proofErr w:type="spellEnd"/>
      <w:r w:rsidRPr="00576C3D">
        <w:t xml:space="preserve"> ikke har avlevert CBAM-erklæring eller det avdekkes at det erklærte utslippstallet er feil. Miljødirektoratet vil også kunne igangsette undersøkelser på eget initiativ. De administrative konsekvensene knyttet til oppgaven er foreløpig uavklart ettersom omfanget av saker som oversendes fra Kommisjonen ikke er kjent. Miljødirektoratet vil kunne legge til grunn informasjon og vurderinger fra Kommisjonen i sin saksbehandling, noe som vil være ressursbesparende. Konsekvensen for bemanning og kompetanse avhenger blant annet av antall CBAM-erklæringer som skal kontrolleres og hvor mange brudd på regelverket som avdekkes. Behovet for nødvendig utvikling av IT-systemer nasjonalt avhenger av hvor mange CBAM-erklæringer som må kontrolleres på eget grunnlag av Miljødirektoratet og hvilke funksjoner CBAM-registeret tilbyr.</w:t>
      </w:r>
    </w:p>
    <w:p w14:paraId="6BDA341F" w14:textId="77777777" w:rsidR="005D314E" w:rsidRPr="00576C3D" w:rsidRDefault="005D314E" w:rsidP="00576C3D">
      <w:pPr>
        <w:pStyle w:val="Overskrift3"/>
      </w:pPr>
      <w:r w:rsidRPr="00576C3D">
        <w:t>Skatteetaten</w:t>
      </w:r>
    </w:p>
    <w:p w14:paraId="2D0E6C18" w14:textId="77777777" w:rsidR="005D314E" w:rsidRPr="00576C3D" w:rsidRDefault="005D314E" w:rsidP="00576C3D">
      <w:r w:rsidRPr="00576C3D">
        <w:t>Skatteetaten skal være ansvarlig myndighet for autorisering av CBAM-</w:t>
      </w:r>
      <w:proofErr w:type="spellStart"/>
      <w:r w:rsidRPr="00576C3D">
        <w:t>deklaranter</w:t>
      </w:r>
      <w:proofErr w:type="spellEnd"/>
      <w:r w:rsidRPr="00576C3D">
        <w:t>. Dette innebærer å fatte vedtak om henholdsvis autorisasjon og tilbakekalling av autorisasjon ved brudd på vilkårene. Dette er en ny oppgave for Skatteetaten. Det forventes at om lag 350 norske importører vil bli omfattet av CBAM. Importørene må enten selv bli autorisert CBAM-</w:t>
      </w:r>
      <w:proofErr w:type="spellStart"/>
      <w:r w:rsidRPr="00576C3D">
        <w:t>deklarant</w:t>
      </w:r>
      <w:proofErr w:type="spellEnd"/>
      <w:r w:rsidRPr="00576C3D">
        <w:t xml:space="preserve"> eller benytte en autorisert CBAM-</w:t>
      </w:r>
      <w:proofErr w:type="spellStart"/>
      <w:r w:rsidRPr="00576C3D">
        <w:t>deklarant</w:t>
      </w:r>
      <w:proofErr w:type="spellEnd"/>
      <w:r w:rsidRPr="00576C3D">
        <w:t>.</w:t>
      </w:r>
    </w:p>
    <w:p w14:paraId="1D559EAD" w14:textId="77777777" w:rsidR="005D314E" w:rsidRPr="00576C3D" w:rsidRDefault="005D314E" w:rsidP="00576C3D">
      <w:r w:rsidRPr="00576C3D">
        <w:t>For å vurdere om en søker eller en CBAM-</w:t>
      </w:r>
      <w:proofErr w:type="spellStart"/>
      <w:r w:rsidRPr="00576C3D">
        <w:t>deklarant</w:t>
      </w:r>
      <w:proofErr w:type="spellEnd"/>
      <w:r w:rsidRPr="00576C3D">
        <w:t xml:space="preserve"> oppfyller vilkårene i artikkel 17 nr. 2 bokstav a kan Skatteetaten be om fremleggelse av en avgrenset uttømmende politiattest, jf. CBAM-lovens § 5 første ledd og omtale i punkt 5.9.3. Det forventes derfor at utstedelse av politiattester vil øke for politiet.</w:t>
      </w:r>
    </w:p>
    <w:p w14:paraId="78B51109" w14:textId="77777777" w:rsidR="005D314E" w:rsidRPr="00576C3D" w:rsidRDefault="005D314E" w:rsidP="00576C3D">
      <w:r w:rsidRPr="00576C3D">
        <w:t>Skattedirektoratet vil være klageinstans for skattekontorets vedtak knyttet til autorisering.</w:t>
      </w:r>
    </w:p>
    <w:p w14:paraId="555B7D54" w14:textId="77777777" w:rsidR="005D314E" w:rsidRPr="00576C3D" w:rsidRDefault="005D314E" w:rsidP="00576C3D">
      <w:r w:rsidRPr="00576C3D">
        <w:t>Innkrevingsmyndigheten i Skatteetaten skal innkreve krav som oppstår etter CBAM-regelverket. Innkrevingen vil bli håndtert på linje med andre innkrevingsoppdrag innkrevingsmyndigheten ivaretar.</w:t>
      </w:r>
    </w:p>
    <w:p w14:paraId="31E3F17C" w14:textId="77777777" w:rsidR="005D314E" w:rsidRPr="00576C3D" w:rsidRDefault="005D314E" w:rsidP="00576C3D">
      <w:pPr>
        <w:pStyle w:val="Overskrift3"/>
      </w:pPr>
      <w:r w:rsidRPr="00576C3D">
        <w:t>Tolletaten</w:t>
      </w:r>
    </w:p>
    <w:p w14:paraId="10B3E017" w14:textId="77777777" w:rsidR="005D314E" w:rsidRPr="00576C3D" w:rsidRDefault="005D314E" w:rsidP="00576C3D">
      <w:r w:rsidRPr="00576C3D">
        <w:t>CBAM gir i utgangspunktet to hovedoppgaver til tollmyndighetene. For det første skal tollmyndighetene ikke tillate import av CBAM-varer av andre enn autoriserte CBAM-</w:t>
      </w:r>
      <w:proofErr w:type="spellStart"/>
      <w:r w:rsidRPr="00576C3D">
        <w:t>deklaranter</w:t>
      </w:r>
      <w:proofErr w:type="spellEnd"/>
      <w:r w:rsidRPr="00576C3D">
        <w:t xml:space="preserve"> dersom samlet terskelverdi av varer fra sektorene aluminium, gjødsel, sement, jern og stål overstiger terskelverdien, og av all import av elektrisitet og hydrogen. For det andre skal tollmyndighetene jevnlig og automatisk rapportere og levere opplysninger om import av CBAM-varer til Kommisjonen. For Norge innebærer sistnevnte at det rapporteres for import fra om lag 8 000 virksomheter, uavhengig av om importørene har oversteget terskelverdien eller ikke.</w:t>
      </w:r>
    </w:p>
    <w:p w14:paraId="5FA8951D" w14:textId="77777777" w:rsidR="005D314E" w:rsidRPr="00576C3D" w:rsidRDefault="005D314E" w:rsidP="00576C3D">
      <w:r w:rsidRPr="00576C3D">
        <w:t xml:space="preserve">Norge har ikke tilgang til EU-systemet CSW-CERTEX som skal brukes for å kunne automatisere interaksjon mellom tollsystemene og fagsystemet for registrering av tillatelser, erklæringer mv. i CBAM, og har heller ikke maskinell tilgang til EU-systemet SURV som skal brukes for rapportering av opplysninger om import av CBAM-varer til Kommisjonen. På denne bakgrunn er det behov for å utvikle </w:t>
      </w:r>
      <w:proofErr w:type="spellStart"/>
      <w:r w:rsidRPr="00576C3D">
        <w:t>systemstøtte</w:t>
      </w:r>
      <w:proofErr w:type="spellEnd"/>
      <w:r w:rsidRPr="00576C3D">
        <w:t xml:space="preserve"> i Norge som kan gjøre kontroller og rapportering mest mulig automatisk. Det vil medføre investeringskostnader og varige forvaltningskostnader.</w:t>
      </w:r>
    </w:p>
    <w:p w14:paraId="616D73AB" w14:textId="77777777" w:rsidR="005D314E" w:rsidRPr="00576C3D" w:rsidRDefault="005D314E" w:rsidP="00576C3D">
      <w:r w:rsidRPr="00576C3D">
        <w:t>I tillegg skal Tolletaten kontrollere CBAM-varer som går til installasjoner og anlegg på kontinentalsokkelen eller eksklusiv økonomisk sone. Tolletaten skal etter den underliggende rettsakten om regler for CBAM-varer brakt til kontinentalsokkelen eller eksklusiv økonomisk sone (forordning (EU) 2025/2210), få mottaksmeldinger fra aktører som bringer varer til norsk sokkel eller eksklusiv økonomisk sone. Tolletaten må derfor lage et nytt system for mottak og registrering av slike meldinger.</w:t>
      </w:r>
    </w:p>
    <w:p w14:paraId="3EFB43CF" w14:textId="77777777" w:rsidR="005D314E" w:rsidRPr="00576C3D" w:rsidRDefault="005D314E" w:rsidP="00576C3D">
      <w:r w:rsidRPr="00576C3D">
        <w:t>CBAM baserer seg på bruk av EORI-nummer for å identifisere økonomiske aktører. Norge er ikke en del av EUs EORI-system. Implementering av CBAM i EØS-avtalen forutsetter at Norge kan ta i bruk en tilsvarende identifikator som anerkjennes av EU, og som kan benyttes for å identifisere virksomheter og la disse få tilgang til CBAM-registeret. Den norske løsningen vil i praksis basere seg på norske organisasjonsnumre. Det må utvikles en løsning som må driftes, og det må avsettes ressurser til veiledning omkring registrering og forvaltning. Utvikling av løsning og nødvendige regelverksendringer følges opp av Finansdepartementet.</w:t>
      </w:r>
    </w:p>
    <w:p w14:paraId="48652A20" w14:textId="77777777" w:rsidR="005D314E" w:rsidRPr="00576C3D" w:rsidRDefault="005D314E" w:rsidP="00576C3D">
      <w:pPr>
        <w:pStyle w:val="Overskrift3"/>
      </w:pPr>
      <w:r w:rsidRPr="00576C3D">
        <w:t>Norsk akkreditering</w:t>
      </w:r>
    </w:p>
    <w:p w14:paraId="6C0DE3DD" w14:textId="77777777" w:rsidR="005D314E" w:rsidRPr="00576C3D" w:rsidRDefault="005D314E" w:rsidP="00576C3D">
      <w:r w:rsidRPr="00576C3D">
        <w:t xml:space="preserve">CBAM krever at </w:t>
      </w:r>
      <w:proofErr w:type="spellStart"/>
      <w:r w:rsidRPr="00576C3D">
        <w:t>verifikatører</w:t>
      </w:r>
      <w:proofErr w:type="spellEnd"/>
      <w:r w:rsidRPr="00576C3D">
        <w:t xml:space="preserve"> av utslippsdata er akkreditert. I Norge vil akkrediteringen utføres av etaten Norsk akkreditering. Det medfører at Norsk akkreditering må etablere en akkrediteringsordning i tråd med CBAM, og opparbeide nødvendig kompetanse. Dette må være på plass før akkrediteringssøknader kan behandles. Det vil bli behov for å avsette ressurser til etablering og videreutvikling av ordningen, men Norsk akkreditering vil trolig dra nytte av eksisterende kompetanse på akkreditering under klimakvoteregelverket. I tråd med finansieringsmodellen til Norsk akkreditering vil drift av ordningen gebyrfinansieres, forutsatt at det er tilstrekkelig etterspørsel etter ordningen. Dersom etterspørselen ikke er tilstrekkelig, vil det være behov for å avsette ressurser til drift av ordningen.</w:t>
      </w:r>
    </w:p>
    <w:p w14:paraId="6BEB981C" w14:textId="77777777" w:rsidR="005D314E" w:rsidRPr="00576C3D" w:rsidRDefault="005D314E" w:rsidP="00576C3D">
      <w:pPr>
        <w:pStyle w:val="Overskrift2"/>
      </w:pPr>
      <w:r w:rsidRPr="00576C3D">
        <w:t>Konsekvenser for aktører</w:t>
      </w:r>
    </w:p>
    <w:p w14:paraId="483749B5" w14:textId="77777777" w:rsidR="005D314E" w:rsidRPr="00576C3D" w:rsidRDefault="005D314E" w:rsidP="00576C3D">
      <w:r w:rsidRPr="00576C3D">
        <w:t>Innføringen av CBAM vil ha positive og negative virkninger for ulike aktører i Norge. Virkningene er usikre og avhenger blant annet av priselastisiteten til forbruker, tilgang på lavutslippsalternativer og substitutter, tilpasninger hos leverandører og hvorvidt regelverket fører til endringer i omfang og størrelsen på karbonpriser i tredjeland. Den største direkte effekten vil treffe de som importerer CBAM-varer over terskelverdien, og som dermed må bli autorisert som CBAM-</w:t>
      </w:r>
      <w:proofErr w:type="spellStart"/>
      <w:r w:rsidRPr="00576C3D">
        <w:t>deklarant</w:t>
      </w:r>
      <w:proofErr w:type="spellEnd"/>
      <w:r w:rsidRPr="00576C3D">
        <w:t xml:space="preserve"> og betale for utslippene til produktene som importeres fra land utenfor EØS.</w:t>
      </w:r>
    </w:p>
    <w:p w14:paraId="0C136F03" w14:textId="77777777" w:rsidR="005D314E" w:rsidRPr="00576C3D" w:rsidRDefault="005D314E" w:rsidP="00576C3D">
      <w:pPr>
        <w:pStyle w:val="Overskrift3"/>
      </w:pPr>
      <w:r w:rsidRPr="00576C3D">
        <w:t>CBAM-</w:t>
      </w:r>
      <w:proofErr w:type="spellStart"/>
      <w:r w:rsidRPr="00576C3D">
        <w:t>deklaranter</w:t>
      </w:r>
      <w:proofErr w:type="spellEnd"/>
    </w:p>
    <w:p w14:paraId="609679CA" w14:textId="77777777" w:rsidR="005D314E" w:rsidRPr="00576C3D" w:rsidRDefault="005D314E" w:rsidP="00576C3D">
      <w:r w:rsidRPr="00576C3D">
        <w:t>CBAM-</w:t>
      </w:r>
      <w:proofErr w:type="spellStart"/>
      <w:r w:rsidRPr="00576C3D">
        <w:t>deklaranter</w:t>
      </w:r>
      <w:proofErr w:type="spellEnd"/>
      <w:r w:rsidRPr="00576C3D">
        <w:t xml:space="preserve"> vil få nye administrative oppgaver og økonomiske forpliktelser, jf. omtale av forpliktelser ved import av CBAM-varer i punkt 2.2.4. Kostnadene er primært et resultat av at CBAM-</w:t>
      </w:r>
      <w:proofErr w:type="spellStart"/>
      <w:r w:rsidRPr="00576C3D">
        <w:t>deklarantene</w:t>
      </w:r>
      <w:proofErr w:type="spellEnd"/>
      <w:r w:rsidRPr="00576C3D">
        <w:t xml:space="preserve"> må betale for utslippene fra produksjonen av varene som importeres fra land utenfor EØS, mens de administrative oppgavene knytter seg hovedsakelig til søknad om autorisasjon, dokumentasjonskrav ved årlig innsendelse av CBAM-erklæring og innlevering av CBAM-sertifikater.</w:t>
      </w:r>
    </w:p>
    <w:p w14:paraId="07CB20F7" w14:textId="77777777" w:rsidR="005D314E" w:rsidRPr="00576C3D" w:rsidRDefault="005D314E" w:rsidP="00576C3D">
      <w:r w:rsidRPr="00576C3D">
        <w:t>Det er veldig vanskelig å på forhånd anslå kostnadene CBAM-</w:t>
      </w:r>
      <w:proofErr w:type="spellStart"/>
      <w:r w:rsidRPr="00576C3D">
        <w:t>deklaranter</w:t>
      </w:r>
      <w:proofErr w:type="spellEnd"/>
      <w:r w:rsidRPr="00576C3D">
        <w:t xml:space="preserve"> må betale for kjøp av CBAM-sertifikater. Det er grovt anslått at kostnadene starter på rundt 600 mill. kroner i 2027, og øker deretter til omtrent 900 mill. kroner i 2031. Disse inkluderer ikke kjøp av CBAM-sertifikater for import av elektrisitet. Anslagene er basert på gjennomsnittlig globale utslipp fra CBAM-varer som ble importert til Norge fra 2020 til 2024, prisen på CBAM-sertifikater som legger </w:t>
      </w:r>
      <w:proofErr w:type="spellStart"/>
      <w:r w:rsidRPr="00576C3D">
        <w:t>Veyts</w:t>
      </w:r>
      <w:proofErr w:type="spellEnd"/>
      <w:r w:rsidRPr="00576C3D">
        <w:t xml:space="preserve"> futurespriser på klimakvoter til grunn, valutakurs på 11 mellom euro og norske kroner, og et grovt anslag av andelen av utslipp som er oppgjørspliktig etter justering for tildeling av vederlagsfrie kvoter. Det er videre anslått at Norge får om lag 350 CBAM-</w:t>
      </w:r>
      <w:proofErr w:type="spellStart"/>
      <w:r w:rsidRPr="00576C3D">
        <w:t>deklaranter</w:t>
      </w:r>
      <w:proofErr w:type="spellEnd"/>
      <w:r w:rsidRPr="00576C3D">
        <w:t>. Utfyllende informasjon om grunnlag og antakelser for anslagene kan ses i punkt 10.3.1 og vedlegg til høringsnotat om forslag til lov om justering av karbonpris ved import av varer til EØS (CBAM-lov). Nedenfor følger en kort beskrivelse, for å forklare hvorfor det er vanskelig å anslå kostnadene.</w:t>
      </w:r>
    </w:p>
    <w:p w14:paraId="16BC4A65" w14:textId="77777777" w:rsidR="005D314E" w:rsidRPr="00576C3D" w:rsidRDefault="005D314E" w:rsidP="00576C3D">
      <w:r w:rsidRPr="00576C3D">
        <w:t>For å beregne antallet CBAM-sertifikater som en CBAM-</w:t>
      </w:r>
      <w:proofErr w:type="spellStart"/>
      <w:r w:rsidRPr="00576C3D">
        <w:t>deklarant</w:t>
      </w:r>
      <w:proofErr w:type="spellEnd"/>
      <w:r w:rsidRPr="00576C3D">
        <w:t xml:space="preserve"> skal levere, må først importerte mengder av hver vare gjøres rede for og multipliseres med tilhørende utslipp fra produksjonen av varen i tredjeland. Deretter skal det beregnes et fratrekk basert på hva tilsvarende produsenter i klimakvotesystemet ville fått som følge av vederlagsfri tildeling under klimakvotesystemet, og til slutt skal eventuell karbonpris som allerede er betalt for utslippene i produksjonslandet trekkes fra.</w:t>
      </w:r>
    </w:p>
    <w:p w14:paraId="507ED40A" w14:textId="77777777" w:rsidR="005D314E" w:rsidRPr="00576C3D" w:rsidRDefault="005D314E" w:rsidP="00576C3D">
      <w:r w:rsidRPr="00576C3D">
        <w:t>Utslippene kan beregnes på to måter: Faktiske utslipp eller estimerte utslipp ved bruk av standardfaktorene fastsatt i underliggende rettsakt (EU) 2025/2621.</w:t>
      </w:r>
    </w:p>
    <w:p w14:paraId="2C996B2F" w14:textId="77777777" w:rsidR="005D314E" w:rsidRPr="00576C3D" w:rsidRDefault="005D314E" w:rsidP="00576C3D">
      <w:r w:rsidRPr="00576C3D">
        <w:t xml:space="preserve">Når dette utslippstallet skal justeres som følge av tildeling av vederlagsfrie kvoter i </w:t>
      </w:r>
      <w:proofErr w:type="spellStart"/>
      <w:r w:rsidRPr="00576C3D">
        <w:t>klimakvotesytemet</w:t>
      </w:r>
      <w:proofErr w:type="spellEnd"/>
      <w:r w:rsidRPr="00576C3D">
        <w:t xml:space="preserve"> følger dette reglene fastsatt i underliggende rettsakt (EU) 2025/2620 (se punkt 2.2.4). Verdien som skal trekkes fra beregnes ved å multiplisere en utslippsstandard med en faktor (en såkalt CBAM-faktor). CBAM-faktoren starter på 0,975 i 2027 og reduseres til 0 i 2034, slik at fratrekket for tildeling gradvis blir mindre. CBAM-faktoren gjenspeiler at vederlagsfri tildeling gradvis fases ut i klimakvotesystemet, slik det følger av artikkel 10a nr. 1a i direktiv (EU) 2003/87 klimakvotedirektivet, jf. klimakvoteforskriften. Det vil si at de oppgjørspliktige utslippene gradvis øker.</w:t>
      </w:r>
    </w:p>
    <w:p w14:paraId="14B1C4F7" w14:textId="77777777" w:rsidR="005D314E" w:rsidRPr="00576C3D" w:rsidRDefault="005D314E" w:rsidP="00576C3D">
      <w:r w:rsidRPr="00576C3D">
        <w:t>CBAM-</w:t>
      </w:r>
      <w:proofErr w:type="spellStart"/>
      <w:r w:rsidRPr="00576C3D">
        <w:t>deklaranten</w:t>
      </w:r>
      <w:proofErr w:type="spellEnd"/>
      <w:r w:rsidRPr="00576C3D">
        <w:t xml:space="preserve"> kan videre kreve en reduksjon av antallet CBAM-sertifikater som skal leveres, dersom det er betalt en karbonpris i produksjonslandet. Fra 2027 kan Kommisjonen publisere standard karbonpriser for produksjonsland, og reduksjon kan da baseres på disse dersom utslippene er beregnet med standardfaktorer (se punkt 2.2.5.1).</w:t>
      </w:r>
    </w:p>
    <w:p w14:paraId="02DDF7E0" w14:textId="77777777" w:rsidR="005D314E" w:rsidRPr="00576C3D" w:rsidRDefault="005D314E" w:rsidP="00576C3D">
      <w:r w:rsidRPr="00576C3D">
        <w:t>Begge de aktuelle fratrekkene som beskrives over skal sikre lik behandling av produsenter i tredjeland og i EØS.</w:t>
      </w:r>
    </w:p>
    <w:p w14:paraId="187AEC13" w14:textId="77777777" w:rsidR="005D314E" w:rsidRPr="00576C3D" w:rsidRDefault="005D314E" w:rsidP="00576C3D">
      <w:r w:rsidRPr="00576C3D">
        <w:t>CBAM-</w:t>
      </w:r>
      <w:proofErr w:type="spellStart"/>
      <w:r w:rsidRPr="00576C3D">
        <w:t>deklaranten</w:t>
      </w:r>
      <w:proofErr w:type="spellEnd"/>
      <w:r w:rsidRPr="00576C3D">
        <w:t xml:space="preserve"> skal ha sertifikater tilsvarende minst 50 pst. av utslippene fra importen av CBAM-varer på sin konto i CBAM-registeret innen utløpet av hvert kvartal, og tilstrekkelig antall sertifikater på sin konto i CBAM-registeret til å dekke de oppgjørspliktige utslippene ved oppgjøret. På grunn av bestemmelsene om begrensninger i adgangen til at CBAM-</w:t>
      </w:r>
      <w:proofErr w:type="spellStart"/>
      <w:r w:rsidRPr="00576C3D">
        <w:t>deklaranter</w:t>
      </w:r>
      <w:proofErr w:type="spellEnd"/>
      <w:r w:rsidRPr="00576C3D">
        <w:t xml:space="preserve"> kan kreve at sertifikater </w:t>
      </w:r>
      <w:proofErr w:type="spellStart"/>
      <w:r w:rsidRPr="00576C3D">
        <w:t>tilbakekjøpes</w:t>
      </w:r>
      <w:proofErr w:type="spellEnd"/>
      <w:r w:rsidRPr="00576C3D">
        <w:t>, og at sertifikater som er eldre enn ett år etter foregående kalenderår blir annullert, kan CBAM-</w:t>
      </w:r>
      <w:proofErr w:type="spellStart"/>
      <w:r w:rsidRPr="00576C3D">
        <w:t>deklaranter</w:t>
      </w:r>
      <w:proofErr w:type="spellEnd"/>
      <w:r w:rsidRPr="00576C3D">
        <w:t xml:space="preserve"> ende med å betale mer enn det utslippene skulle tilsi. Dette er fordi CBAM-</w:t>
      </w:r>
      <w:proofErr w:type="spellStart"/>
      <w:r w:rsidRPr="00576C3D">
        <w:t>deklaranter</w:t>
      </w:r>
      <w:proofErr w:type="spellEnd"/>
      <w:r w:rsidRPr="00576C3D">
        <w:t xml:space="preserve"> ikke får kompensasjon for sertifikatene som annulleres. CBAM-</w:t>
      </w:r>
      <w:proofErr w:type="spellStart"/>
      <w:r w:rsidRPr="00576C3D">
        <w:t>deklaranter</w:t>
      </w:r>
      <w:proofErr w:type="spellEnd"/>
      <w:r w:rsidRPr="00576C3D">
        <w:t xml:space="preserve"> har likevel mulighet til å bruke sertifikatene i to oppgjør, samtidig som de har anledning til å selge sertifikatene tilbake. Se ytterligere forklaring i punkt 2.2.6. Det er derfor lite sannsynlig at CBAM-</w:t>
      </w:r>
      <w:proofErr w:type="spellStart"/>
      <w:r w:rsidRPr="00576C3D">
        <w:t>deklaranter</w:t>
      </w:r>
      <w:proofErr w:type="spellEnd"/>
      <w:r w:rsidRPr="00576C3D">
        <w:t xml:space="preserve"> lar sertifikater stå på konto til de annulleres. Det kan imidlertid ikke utelukkes at annullering av sertifikater vil kunne forekomme, og vil øke kostnadene for CBAM-</w:t>
      </w:r>
      <w:proofErr w:type="spellStart"/>
      <w:r w:rsidRPr="00576C3D">
        <w:t>deklaranter</w:t>
      </w:r>
      <w:proofErr w:type="spellEnd"/>
      <w:r w:rsidRPr="00576C3D">
        <w:t>.</w:t>
      </w:r>
    </w:p>
    <w:p w14:paraId="3EBF4203" w14:textId="77777777" w:rsidR="005D314E" w:rsidRPr="00576C3D" w:rsidRDefault="005D314E" w:rsidP="00576C3D">
      <w:r w:rsidRPr="00576C3D">
        <w:t>Artikkel 20 nr. 5a første ledd sier at kostnader som påløper i forbindelse med etablering, drift og forvaltning av den felles salgsplattformen skal finansieres gjennom gebyrer ved kjøp av CBAM-sertifikater. Det vil si at CBAM-</w:t>
      </w:r>
      <w:proofErr w:type="spellStart"/>
      <w:r w:rsidRPr="00576C3D">
        <w:t>deklaranter</w:t>
      </w:r>
      <w:proofErr w:type="spellEnd"/>
      <w:r w:rsidRPr="00576C3D">
        <w:t xml:space="preserve"> får en kostnad knyttet til dette.</w:t>
      </w:r>
    </w:p>
    <w:p w14:paraId="4A5444E8" w14:textId="77777777" w:rsidR="005D314E" w:rsidRPr="00576C3D" w:rsidRDefault="005D314E" w:rsidP="00576C3D">
      <w:pPr>
        <w:pStyle w:val="Overskrift4"/>
      </w:pPr>
      <w:r w:rsidRPr="00576C3D">
        <w:t>Elektrisitet</w:t>
      </w:r>
    </w:p>
    <w:p w14:paraId="1DE44DA1" w14:textId="77777777" w:rsidR="005D314E" w:rsidRPr="00576C3D" w:rsidRDefault="005D314E" w:rsidP="00576C3D">
      <w:r w:rsidRPr="00576C3D">
        <w:t>I forbindelse med import av elektrisitet åpner artikkel 5 nr. 4 i CBAM-forordningen for unntak fra autorisering dersom elektrisiteten allokeres gjennom eksplisitte auksjoner. Norge har kun implisitte auksjoner under energiforvaltningen. Særregelen for eksplisitte auksjoner vurderes derfor å ikke være aktuell for norske forhold.</w:t>
      </w:r>
    </w:p>
    <w:p w14:paraId="5A82C8B1" w14:textId="77777777" w:rsidR="005D314E" w:rsidRPr="00576C3D" w:rsidRDefault="005D314E" w:rsidP="00576C3D">
      <w:r w:rsidRPr="00576C3D">
        <w:t xml:space="preserve">Implisitte auksjoner innebærer at pris og elektrisitetsflyt beregnes samtidig i </w:t>
      </w:r>
      <w:proofErr w:type="spellStart"/>
      <w:r w:rsidRPr="00576C3D">
        <w:t>day</w:t>
      </w:r>
      <w:proofErr w:type="spellEnd"/>
      <w:r w:rsidRPr="00576C3D">
        <w:t>-aheadmarkedet. Statnett SF stiller overføringskapasitet til rådighet for markedet, og resultatene fra markedsklareringen til kraftbørsen (for eksempel Nord Pool) bestemmer hvor mye strøm som faktisk flyter mellom land basert på budene. Statnett anses av denne grunnen som den aktøren som innfører elektrisitet i Norge, og som det eneste pliktsubjektet for innførsel av elektrisitet etter CBAM. Statnett vil derfor måtte søke om å bli autorisert som CBAM-</w:t>
      </w:r>
      <w:proofErr w:type="spellStart"/>
      <w:r w:rsidRPr="00576C3D">
        <w:t>deklarant</w:t>
      </w:r>
      <w:proofErr w:type="spellEnd"/>
      <w:r w:rsidRPr="00576C3D">
        <w:t>, og vil få forpliktelser om deklarasjon/rapportering og oppgjør av CBAM-sertifikater.</w:t>
      </w:r>
    </w:p>
    <w:p w14:paraId="665A18C6" w14:textId="77777777" w:rsidR="005D314E" w:rsidRPr="00576C3D" w:rsidRDefault="005D314E" w:rsidP="00576C3D">
      <w:r w:rsidRPr="00576C3D">
        <w:t>Norge har betydelig elektrisitetsutveksling med andre land i EØS, som de nordiske landene, Nederland og Tyskland, men disse vil ikke bli berørt av CBAM. I dag er Storbritannia det eneste tredjelandet som Norge importerer elektrisitet fra. Statnett vil dermed bli pålagt å innlevere CBAM-sertifikater for utslipp knyttet til import av elektrisitet fra Storbritannia, noe som vil medføre økonomiske konsekvenser for Statnett.</w:t>
      </w:r>
    </w:p>
    <w:p w14:paraId="2975420B" w14:textId="77777777" w:rsidR="005D314E" w:rsidRPr="00576C3D" w:rsidRDefault="005D314E" w:rsidP="00576C3D">
      <w:r w:rsidRPr="00576C3D">
        <w:t>Ved bruk av strømimporttall fra SSB og data fra Statnetts årlige kraftmarkedsrapporter for 2022, 2023 og 2024, er estimert import fra Storbritannia 1725 GWh i 2022, 397 GWh i 2023, og 279 GWh i 2024. Gitt gjennomsnittlig utslippsintensitet på 149 gCO</w:t>
      </w:r>
      <w:r w:rsidRPr="00576C3D">
        <w:rPr>
          <w:rStyle w:val="skrift-senket"/>
        </w:rPr>
        <w:t>2</w:t>
      </w:r>
      <w:r w:rsidRPr="00576C3D">
        <w:t>/kWh for 2022 og 2023, og 125 gCO</w:t>
      </w:r>
      <w:r w:rsidRPr="00576C3D">
        <w:rPr>
          <w:rStyle w:val="skrift-senket"/>
        </w:rPr>
        <w:t>2</w:t>
      </w:r>
      <w:r w:rsidRPr="00576C3D">
        <w:t>/kWh for 2024, basert på data fra National Energy System Operator (NESO), vil utslipp knyttet til norsk import fra Storbritannia være 256 725 tonn CO</w:t>
      </w:r>
      <w:r w:rsidRPr="00576C3D">
        <w:rPr>
          <w:rStyle w:val="skrift-senket"/>
        </w:rPr>
        <w:t>2</w:t>
      </w:r>
      <w:r w:rsidRPr="00576C3D">
        <w:t>-ekvivalenter i 2022, 59 153 tonn CO</w:t>
      </w:r>
      <w:r w:rsidRPr="00576C3D">
        <w:rPr>
          <w:rStyle w:val="skrift-senket"/>
        </w:rPr>
        <w:t>2</w:t>
      </w:r>
      <w:r w:rsidRPr="00576C3D">
        <w:t>-ekvivalenter i 2023 og 34 913 tonn CO</w:t>
      </w:r>
      <w:r w:rsidRPr="00576C3D">
        <w:rPr>
          <w:rStyle w:val="skrift-senket"/>
        </w:rPr>
        <w:t>2</w:t>
      </w:r>
      <w:r w:rsidRPr="00576C3D">
        <w:t>-ekvivalenter i 2024. Med antakelsen om at gjennomsnittlig pris på et CBAM-sertifikat er 70 euro og en valutakurs på 11,78 norske kroner, ville dette medført en kostnad for Statnett for årene 2022, 2023 og 2024 på totalt 289 mill. kroner. Dette tilsvarer en gjennomsnittlig årlig kostnad på 96,3 mill. kroner. Kostnaden for Statnett ville blitt betydelig redusert som følge av Storbritannias klimakvotesystem (UK ETS), fordi allerede betalt karbonpris kan fratrekkes CBAM-forpliktelsen, jf. CBAM-forordningen artikkel 9. Gitt en kvotepris i UK ETS på 57 euro vil Statnetts estimerte kostnad reduseres til 54 mill. kroner for årene 2022, 2023 og 2024. Det vil si at gjennomsnittlig årlig kostnad for Statnett ville vært 18 mill. kroner.</w:t>
      </w:r>
    </w:p>
    <w:p w14:paraId="127358DF" w14:textId="77777777" w:rsidR="005D314E" w:rsidRPr="00576C3D" w:rsidRDefault="005D314E" w:rsidP="00576C3D">
      <w:r w:rsidRPr="00576C3D">
        <w:t>Beregningen tar ikke høyde for utslippsintensiteten for gitte anlegg eller regioner hvor Norge importerer strøm fra, der utslippsintensiteten kan være høyere eller lavere enn det gjennomsnittlige nivået i Storbritannia.</w:t>
      </w:r>
    </w:p>
    <w:p w14:paraId="6E251151" w14:textId="77777777" w:rsidR="005D314E" w:rsidRPr="00576C3D" w:rsidRDefault="005D314E" w:rsidP="00576C3D">
      <w:r w:rsidRPr="00576C3D">
        <w:t xml:space="preserve">Siden importen fra Storbritannia utgjør en liten andel av total elektrisitetsimport i Norge, og importen vil få betydelige lavere kostnad som følge av </w:t>
      </w:r>
      <w:proofErr w:type="spellStart"/>
      <w:r w:rsidRPr="00576C3D">
        <w:t>fratrekksmuligheten</w:t>
      </w:r>
      <w:proofErr w:type="spellEnd"/>
      <w:r w:rsidRPr="00576C3D">
        <w:t xml:space="preserve"> i CBAM for allerede betalte karbonpriser gjennom UK ETS, forventes den årlige priseffekten av CBAM på det norske kraftmarkedet isolert sett å være begrenset. CBAM vil likevel kunne gi noe høyere kostnader i perioder med import og økte administrative kostnader, men vurderes ikke å påvirke markedets overordnede funksjon vesentlig.</w:t>
      </w:r>
    </w:p>
    <w:p w14:paraId="1F163402" w14:textId="77777777" w:rsidR="005D314E" w:rsidRPr="00576C3D" w:rsidRDefault="005D314E" w:rsidP="00576C3D">
      <w:pPr>
        <w:pStyle w:val="Overskrift3"/>
      </w:pPr>
      <w:r w:rsidRPr="00576C3D">
        <w:t>Sluttbruker</w:t>
      </w:r>
    </w:p>
    <w:p w14:paraId="31D5F3A4" w14:textId="77777777" w:rsidR="005D314E" w:rsidRPr="00576C3D" w:rsidRDefault="005D314E" w:rsidP="00576C3D">
      <w:r w:rsidRPr="00576C3D">
        <w:t>Det forventes at CBAM-</w:t>
      </w:r>
      <w:proofErr w:type="spellStart"/>
      <w:r w:rsidRPr="00576C3D">
        <w:t>deklaranter</w:t>
      </w:r>
      <w:proofErr w:type="spellEnd"/>
      <w:r w:rsidRPr="00576C3D">
        <w:t xml:space="preserve"> overfører deler av kostnaden på utslippene til sine kunder i form av økte priser. Dette vil trekke i retning av økte priser for sluttbrukere av henholdsvis CBAM-varer direkte eller av varer som benytter CBAM-varer som innsatsfaktorer i produksjonen. I hvor stor grad CBAM-</w:t>
      </w:r>
      <w:proofErr w:type="spellStart"/>
      <w:r w:rsidRPr="00576C3D">
        <w:t>deklaranter</w:t>
      </w:r>
      <w:proofErr w:type="spellEnd"/>
      <w:r w:rsidRPr="00576C3D">
        <w:t xml:space="preserve"> vil velte de økte kostnadene over i markedet, vil avhenge av markedsforholdene og sluttbrukernes prisfølsomhet.</w:t>
      </w:r>
    </w:p>
    <w:p w14:paraId="77F095EB" w14:textId="77777777" w:rsidR="005D314E" w:rsidRPr="00576C3D" w:rsidRDefault="005D314E" w:rsidP="00576C3D">
      <w:pPr>
        <w:pStyle w:val="Overskrift3"/>
      </w:pPr>
      <w:proofErr w:type="spellStart"/>
      <w:r w:rsidRPr="00576C3D">
        <w:t>Verifikatører</w:t>
      </w:r>
      <w:proofErr w:type="spellEnd"/>
    </w:p>
    <w:p w14:paraId="63B4532D" w14:textId="77777777" w:rsidR="005D314E" w:rsidRPr="00576C3D" w:rsidRDefault="005D314E" w:rsidP="00576C3D">
      <w:r w:rsidRPr="00576C3D">
        <w:t xml:space="preserve">CBAM stiller krav til at utslipp knyttet til importerte CBAM-varer som er beregnet med faktiske utslippsdata skal verifiseres av uavhengige og akkrediterte </w:t>
      </w:r>
      <w:proofErr w:type="spellStart"/>
      <w:r w:rsidRPr="00576C3D">
        <w:t>verifikatører</w:t>
      </w:r>
      <w:proofErr w:type="spellEnd"/>
      <w:r w:rsidRPr="00576C3D">
        <w:t>. I endringsforordningen om forenklinger ble kravet om verifikasjon når CBAM-</w:t>
      </w:r>
      <w:proofErr w:type="spellStart"/>
      <w:r w:rsidRPr="00576C3D">
        <w:t>deklaranten</w:t>
      </w:r>
      <w:proofErr w:type="spellEnd"/>
      <w:r w:rsidRPr="00576C3D">
        <w:t xml:space="preserve"> benytter standardfaktorer for å beregne utslipp fjernet. Utstrakt bruk av standardfaktorer vil redusere etterspørselen etter verifikasjonsoppdrag, men gjennomføringen av CBAM i norsk rett kan likevel øke inntektsmulighetene for akkrediterte </w:t>
      </w:r>
      <w:proofErr w:type="spellStart"/>
      <w:r w:rsidRPr="00576C3D">
        <w:t>verifikatører</w:t>
      </w:r>
      <w:proofErr w:type="spellEnd"/>
      <w:r w:rsidRPr="00576C3D">
        <w:t>.</w:t>
      </w:r>
    </w:p>
    <w:p w14:paraId="17E7DA77" w14:textId="77777777" w:rsidR="005D314E" w:rsidRPr="00576C3D" w:rsidRDefault="005D314E" w:rsidP="00576C3D">
      <w:pPr>
        <w:pStyle w:val="Overskrift3"/>
      </w:pPr>
      <w:r w:rsidRPr="00576C3D">
        <w:t>Bedrifter i EUs klimakvotesystem</w:t>
      </w:r>
    </w:p>
    <w:p w14:paraId="34B4B709" w14:textId="77777777" w:rsidR="005D314E" w:rsidRPr="00576C3D" w:rsidRDefault="005D314E" w:rsidP="00576C3D">
      <w:r w:rsidRPr="00576C3D">
        <w:t>CBAM erstatter tildeling av vederlagsfrie kvoter for anlegg i EUs klimakvotesystem som et virkemiddel mot karbonlekkasje. Anlegg som produserer CBAM-varer vil ikke motta vederlagsfrie kvoter for produksjon av CBAM-varer fra og med 2034. I Norge gjelder dette 18 anlegg som i gjennomsnitt fikk dekket omtrent 92 pst. av utslippene fra tildeling av vederlagsfrie kvoter i årene fra 2021 til 2023. Disse tallene gjelder for hele produksjonen ved anlegget, og all produksjon er ikke nødvendigvis produksjon av CBAM-varer.</w:t>
      </w:r>
    </w:p>
    <w:p w14:paraId="13DEA9C4" w14:textId="77777777" w:rsidR="005D314E" w:rsidRPr="00576C3D" w:rsidRDefault="005D314E" w:rsidP="00576C3D">
      <w:r w:rsidRPr="00576C3D">
        <w:t>I EU skal CBAM-</w:t>
      </w:r>
      <w:proofErr w:type="spellStart"/>
      <w:r w:rsidRPr="00576C3D">
        <w:t>deklaranter</w:t>
      </w:r>
      <w:proofErr w:type="spellEnd"/>
      <w:r w:rsidRPr="00576C3D">
        <w:t xml:space="preserve"> betale for utslipp fra importerte varer fra og med 2026, mens det legges opp til at CBAM først skal innføres i Norge fra og med 2027. Utfasingen av vederlagsfrie kvoter starter derimot i 2026, også for norske anlegg i EUs klimakvotesystem. Dette gjør at norske anlegg med produksjon av CBAM-varer mister 2,5 pst. av tildelingen av vederlagsfrie kvoter, samtidig som innførsel av CBAM-varer til Norge ikke vil få en kostnad før i 2027. I 2026 får derfor produsenter av CBAM-varer i Norge en konkurranseulempe for salg av CBAM-varer i forhold til produsenter i tredjeland. Konkurranseulempen gjelder bare for salg i Norge ettersom CBAM gjelder i EU fra 2026.</w:t>
      </w:r>
    </w:p>
    <w:p w14:paraId="60238158" w14:textId="77777777" w:rsidR="005D314E" w:rsidRPr="00576C3D" w:rsidRDefault="005D314E" w:rsidP="00576C3D">
      <w:r w:rsidRPr="00576C3D">
        <w:t>Innføringen av CBAM har som formål at alle CBAM-varer som omsettes i EØS har betalt den samme prisen på utslipp, og at anlegg med lik utslippsintensitet har betalt for en lik andel av utslippene. Dette skiller seg fra systemet med tildeling av vederlagsfrie kvoter, hvor de mest utslippseffektive anleggene belønnes. Som en konsekvens får de fleste anlegg en andel av de kvotepliktige utslippene dekket med vederlagsfrie kvoter, mens de mest utslippseffektive anleggene mottar flere kvoter enn de trenger for å gjøre opp for alle utslippene. For mange av produsentene av CBAM-varer vil derfor utfasingen av tildeling og innføringen av CBAM kunne virke konkurranseutjevnende, og kan ha en positiv effekt på konkurransekraften. Norske anlegg som fikk flere kvoter enn det utslippene skulle tilsi, vil derimot miste et konkurransefortrinn i form av et overskudd av vederlagsfrie kvoter.</w:t>
      </w:r>
    </w:p>
    <w:p w14:paraId="4D25EF33" w14:textId="77777777" w:rsidR="005D314E" w:rsidRPr="00576C3D" w:rsidRDefault="005D314E" w:rsidP="00576C3D">
      <w:r w:rsidRPr="00576C3D">
        <w:t>CBAM er bare konkurranseutjevnende for varer som omsettes innenfor EØS. Dette er forskjellig fra tildeling av vederlagsfrie kvoter hvor anlegg i EØS får kvoter uavhengig av om produktet selges innenfor eller utenfor det indre marked. Innføringen av CBAM vil på den måten redusere kvotepliktige anleggs konkurransekraft mot tredjeland ettersom anleggene mister den vederlagsfrie tildelingen uavhengig av om produktene omsettes i det indre marked eller eksporteres til tredjeland.</w:t>
      </w:r>
    </w:p>
    <w:p w14:paraId="43565663" w14:textId="77777777" w:rsidR="005D314E" w:rsidRPr="00576C3D" w:rsidRDefault="005D314E" w:rsidP="00576C3D">
      <w:pPr>
        <w:pStyle w:val="Overskrift1"/>
      </w:pPr>
      <w:r w:rsidRPr="00576C3D">
        <w:t>Merknader til de enkelte bestemmelsene</w:t>
      </w:r>
    </w:p>
    <w:p w14:paraId="623CEC27" w14:textId="77777777" w:rsidR="005D314E" w:rsidRPr="00576C3D" w:rsidRDefault="005D314E" w:rsidP="00576C3D">
      <w:pPr>
        <w:pStyle w:val="avsnitt-undertittel"/>
      </w:pPr>
      <w:r w:rsidRPr="00576C3D">
        <w:t>Til § 1 Virkeområde</w:t>
      </w:r>
    </w:p>
    <w:p w14:paraId="563C8C5A" w14:textId="77777777" w:rsidR="005D314E" w:rsidRPr="00576C3D" w:rsidRDefault="005D314E" w:rsidP="00576C3D">
      <w:r w:rsidRPr="00576C3D">
        <w:t>Bestemmelsen fastsetter lovens virkeområde i tråd med CBAM-forordningen artikkel 2, slik at både forordningen og underliggende rettsakter kan gjennomføres i norsk rett. Departementet viser til vurderingen i punkt 5.2.3.</w:t>
      </w:r>
    </w:p>
    <w:p w14:paraId="6BE14005" w14:textId="77777777" w:rsidR="005D314E" w:rsidRPr="00576C3D" w:rsidRDefault="005D314E" w:rsidP="00576C3D">
      <w:pPr>
        <w:rPr>
          <w:rStyle w:val="kursiv"/>
        </w:rPr>
      </w:pPr>
      <w:r w:rsidRPr="00576C3D">
        <w:rPr>
          <w:rStyle w:val="kursiv"/>
        </w:rPr>
        <w:t>Første ledd</w:t>
      </w:r>
      <w:r w:rsidRPr="00576C3D">
        <w:t xml:space="preserve"> angir at loven får </w:t>
      </w:r>
      <w:proofErr w:type="gramStart"/>
      <w:r w:rsidRPr="00576C3D">
        <w:t>anvendelse</w:t>
      </w:r>
      <w:proofErr w:type="gramEnd"/>
      <w:r w:rsidRPr="00576C3D">
        <w:t xml:space="preserve"> ved import av CBAM-varer til Norges tollområde. Tollområdet omfatter fastlandet og territorialfarvannet, men ikke Svalbard, Jan Mayen eller biland, jf. vareførselsloven § 1-2 andre ledd. Videre følger det av første ledd at loven får </w:t>
      </w:r>
      <w:proofErr w:type="gramStart"/>
      <w:r w:rsidRPr="00576C3D">
        <w:t>anvendelse</w:t>
      </w:r>
      <w:proofErr w:type="gramEnd"/>
      <w:r w:rsidRPr="00576C3D">
        <w:t xml:space="preserve"> når CBAM-varer føres til kontinentalsokkelen eller økonomisk sone, så langt disse er tilstøtende til tollområdet. Områder som ikke er tilstøtende, som kontinentalsokkelen ved Antarktis og bilandene, omfattes ikke.</w:t>
      </w:r>
    </w:p>
    <w:p w14:paraId="3B61EC2A" w14:textId="77777777" w:rsidR="005D314E" w:rsidRPr="00576C3D" w:rsidRDefault="005D314E" w:rsidP="00576C3D">
      <w:pPr>
        <w:rPr>
          <w:rStyle w:val="kursiv"/>
        </w:rPr>
      </w:pPr>
      <w:r w:rsidRPr="00576C3D">
        <w:rPr>
          <w:rStyle w:val="kursiv"/>
        </w:rPr>
        <w:t xml:space="preserve">Andre ledd </w:t>
      </w:r>
      <w:r w:rsidRPr="00576C3D">
        <w:t>slår fast at loven også gjelder når norske aktører importerer CBAM-varer til andre tollområder i EØS, med unntak av Liechtenstein, som ikke omfattes av CBAM-regelverket. I tillegg gjelder loven når norske aktører fører varer til installasjoner i økonomiske soner og kontinentalsokler tilstøtende til disse tollområdene. Loven vil dermed gjelde for CBAM-varer med opprinnelse i tredjeland som importeres til tollområdene til EU, Norge og Island, samt når disse varene føres til installasjoner i økonomiske soner og kontinentalsokler tilstøtende til disse tollområdene.</w:t>
      </w:r>
    </w:p>
    <w:p w14:paraId="36ADD3E9" w14:textId="77777777" w:rsidR="005D314E" w:rsidRPr="00576C3D" w:rsidRDefault="005D314E" w:rsidP="00576C3D">
      <w:r w:rsidRPr="00576C3D">
        <w:t>Begrepet «aktører» i andre ledd omfatter både fysiske og juridiske personer, og loven gjelder uavhengig av om det er en privatperson eller næringsaktør som importerer CBAM-varer.</w:t>
      </w:r>
    </w:p>
    <w:p w14:paraId="45A76484" w14:textId="77777777" w:rsidR="005D314E" w:rsidRPr="00576C3D" w:rsidRDefault="005D314E" w:rsidP="00576C3D">
      <w:pPr>
        <w:pStyle w:val="avsnitt-undertittel"/>
      </w:pPr>
      <w:r w:rsidRPr="00576C3D">
        <w:t>Til § 2 Mekanisme for justering av karbonpris (CBAM)</w:t>
      </w:r>
    </w:p>
    <w:p w14:paraId="41C7F1BF" w14:textId="77777777" w:rsidR="005D314E" w:rsidRPr="00576C3D" w:rsidRDefault="005D314E" w:rsidP="00576C3D">
      <w:pPr>
        <w:rPr>
          <w:rStyle w:val="kursiv"/>
        </w:rPr>
      </w:pPr>
      <w:r w:rsidRPr="00576C3D">
        <w:rPr>
          <w:rStyle w:val="kursiv"/>
        </w:rPr>
        <w:t>Første ledd</w:t>
      </w:r>
      <w:r w:rsidRPr="00576C3D">
        <w:t xml:space="preserve"> </w:t>
      </w:r>
      <w:r w:rsidRPr="00576C3D">
        <w:rPr>
          <w:rStyle w:val="kursiv"/>
        </w:rPr>
        <w:t>første punktum</w:t>
      </w:r>
      <w:r w:rsidRPr="00576C3D">
        <w:t xml:space="preserve"> gjør CBAM-forordningen gjeldende som norsk lov. Forordningen gjennomføres «som sådan», jf. EØS-avtalen artikkel 7 bokstav a. Det vil si at det er CBAM-forordningen uten omskrivninger, men med de tilpasningene som følger av EØS-komitébeslutningen, protokoll 1 til EØS-avtalen og avtalen </w:t>
      </w:r>
      <w:proofErr w:type="gramStart"/>
      <w:r w:rsidRPr="00576C3D">
        <w:t>for øvrig</w:t>
      </w:r>
      <w:proofErr w:type="gramEnd"/>
      <w:r w:rsidRPr="00576C3D">
        <w:t xml:space="preserve">, som blir norsk lov. Det følger også av </w:t>
      </w:r>
      <w:r w:rsidRPr="00576C3D">
        <w:rPr>
          <w:rStyle w:val="kursiv"/>
        </w:rPr>
        <w:t>andre punktum</w:t>
      </w:r>
      <w:r w:rsidRPr="00576C3D">
        <w:t xml:space="preserve"> at forordningen gjelder med de endringene som følger av endringsforordning om forenklinger (EU) 2025/2083. Departementet viser til punktene 2.2, 5.3 og 5.4, der det er nærmere redegjort for bestemmelsen og for innholdet i CBAM-forordningen med endringene som følger av endringsforordningen.</w:t>
      </w:r>
    </w:p>
    <w:p w14:paraId="2E920567" w14:textId="77777777" w:rsidR="005D314E" w:rsidRPr="00576C3D" w:rsidRDefault="005D314E" w:rsidP="00576C3D">
      <w:pPr>
        <w:rPr>
          <w:rStyle w:val="kursiv"/>
        </w:rPr>
      </w:pPr>
      <w:r w:rsidRPr="00576C3D">
        <w:rPr>
          <w:rStyle w:val="kursiv"/>
        </w:rPr>
        <w:t>Andre ledd</w:t>
      </w:r>
      <w:r w:rsidRPr="00576C3D">
        <w:t xml:space="preserve"> gir Kongen hjemmel til å gjennomføre underliggende rettsakter som er vedtatt av Kommisjonen med hjemmel i CBAM-forordningen. Kommisjonen har fått kompetanse til å vedta underliggende rettsakter for å utfylle og supplere artiklene i CBAM-forordningen. Kompetansen som tildeles Kongen til å gjennomføre disse underliggende rettsaktene i forskrift, er begrenset til rettsakter som er innlemmet i EØS-avtalen.</w:t>
      </w:r>
    </w:p>
    <w:p w14:paraId="32E6122A" w14:textId="77777777" w:rsidR="005D314E" w:rsidRPr="00576C3D" w:rsidRDefault="005D314E" w:rsidP="00576C3D">
      <w:pPr>
        <w:rPr>
          <w:rStyle w:val="kursiv"/>
        </w:rPr>
      </w:pPr>
      <w:r w:rsidRPr="00576C3D">
        <w:rPr>
          <w:rStyle w:val="kursiv"/>
        </w:rPr>
        <w:t>Tredje ledd</w:t>
      </w:r>
      <w:r w:rsidRPr="00576C3D">
        <w:t xml:space="preserve"> gir Kongen kompetanse til å gi regler i forskrift som det er nødvendig å vedta for å supplere CBAM-forordningen og underliggende rettsakter som gjennomføres i forskrift med hjemmel i andre ledd. Med supplerende bestemmelser siktes det til regler som utfyller CBAM-forordningen og underliggende rettsakter. Det ligger også en begrensing i at reglene må være nødvendige for forvaltningen av CBAM. En absolutt skranke for hjemmelen er dermed at det bare kan gis regler med hjemmel i denne bestemmelsen som ikke strider mot CBAM-forordningen og underliggende rettsakter slik de er tatt inn i vedlegg til EØS-avtalen.</w:t>
      </w:r>
    </w:p>
    <w:p w14:paraId="3F53B59E" w14:textId="77777777" w:rsidR="005D314E" w:rsidRPr="00576C3D" w:rsidRDefault="005D314E" w:rsidP="00576C3D">
      <w:r w:rsidRPr="00576C3D">
        <w:t>Hjemmelen er særlig aktuell å bruke der tilpasninger til CBAM-forordningen, endringsforordninger eller underliggende rettsakter, viser til nasjonalt regelverk som skal tilsvare EU-regler det henvises til i disse rettsaktene. I noen tilfeller er det behov for å endre, eller foreslå nye regler i nasjonal rett for å sikre tilsvarende regler som i EU. Tilpasningene forutsetter i slike tilfeller at det vedtas nytt nasjonalt regelverk eller endringer i eksisterende regelverk for å sikre samsvarende regler som i EU.</w:t>
      </w:r>
    </w:p>
    <w:p w14:paraId="096B3882" w14:textId="77777777" w:rsidR="005D314E" w:rsidRPr="00576C3D" w:rsidRDefault="005D314E" w:rsidP="00576C3D">
      <w:r w:rsidRPr="00576C3D">
        <w:t xml:space="preserve">Forskriftshjemmelen kan også benyttes dersom bestemmelsen i CBAM-forordningen eller i tilhørende rettsakter forutsetter eller åpner for at det kan gis supplerende regler som naturlig hører hjemme i forskrift. Departementet viser </w:t>
      </w:r>
      <w:proofErr w:type="gramStart"/>
      <w:r w:rsidRPr="00576C3D">
        <w:t>for øvrig</w:t>
      </w:r>
      <w:proofErr w:type="gramEnd"/>
      <w:r w:rsidRPr="00576C3D">
        <w:t xml:space="preserve"> til proposisjonens punkt 5.6.3 der det er nærmere redegjort for bakgrunnen og behovet for bestemmelsen.</w:t>
      </w:r>
    </w:p>
    <w:p w14:paraId="716378FD" w14:textId="77777777" w:rsidR="005D314E" w:rsidRPr="00576C3D" w:rsidRDefault="005D314E" w:rsidP="00576C3D">
      <w:pPr>
        <w:pStyle w:val="avsnitt-undertittel"/>
      </w:pPr>
      <w:r w:rsidRPr="00576C3D">
        <w:t>Til § 3 Ansvarlig myndighet</w:t>
      </w:r>
    </w:p>
    <w:p w14:paraId="102570BB" w14:textId="77777777" w:rsidR="005D314E" w:rsidRPr="00576C3D" w:rsidRDefault="005D314E" w:rsidP="00576C3D">
      <w:r w:rsidRPr="00576C3D">
        <w:t>Bestemmelsen i § 3 slår fast at Kongen har kompetanse til å bestemme hvem som skal være ansvarlig myndighet for ulike deler av CBAM-forordningen. Departementet viser til omtalen i punkt 5.7.</w:t>
      </w:r>
    </w:p>
    <w:p w14:paraId="0762824A" w14:textId="77777777" w:rsidR="005D314E" w:rsidRPr="00576C3D" w:rsidRDefault="005D314E" w:rsidP="00576C3D">
      <w:pPr>
        <w:pStyle w:val="avsnitt-undertittel"/>
      </w:pPr>
      <w:r w:rsidRPr="00576C3D">
        <w:t>Til § 4 Tilsyn</w:t>
      </w:r>
    </w:p>
    <w:p w14:paraId="692D07E1" w14:textId="77777777" w:rsidR="005D314E" w:rsidRPr="00576C3D" w:rsidRDefault="005D314E" w:rsidP="00576C3D">
      <w:pPr>
        <w:rPr>
          <w:rStyle w:val="kursiv"/>
        </w:rPr>
      </w:pPr>
      <w:r w:rsidRPr="00576C3D">
        <w:rPr>
          <w:rStyle w:val="kursiv"/>
        </w:rPr>
        <w:t>Første ledd</w:t>
      </w:r>
      <w:r w:rsidRPr="00576C3D">
        <w:t xml:space="preserve"> gir ansvarlig myndighet og tollmyndigheten hjemmel til å føre tilsyn. Ansvarlig myndighet gis hjemmel i første punktum til å føre tilsyn med at bestemmelser gitt i eller i </w:t>
      </w:r>
      <w:proofErr w:type="gramStart"/>
      <w:r w:rsidRPr="00576C3D">
        <w:t>medhold av</w:t>
      </w:r>
      <w:proofErr w:type="gramEnd"/>
      <w:r w:rsidRPr="00576C3D">
        <w:t xml:space="preserve"> loven overholdes. Tilsyn vil typisk bli utført av ansvarlig myndighet overfor norske importører av CBAM-varer eller aktører som har påtatt seg CBAM-forpliktelsen på vegne av norske importører, men det kan også være aktuelt hos andre som midlertidig oppbevarer, eller har kjøpt CBAM-varer av en importør, se omtale av andre ledd.</w:t>
      </w:r>
    </w:p>
    <w:p w14:paraId="7F942903" w14:textId="77777777" w:rsidR="005D314E" w:rsidRPr="00576C3D" w:rsidRDefault="005D314E" w:rsidP="00576C3D">
      <w:r w:rsidRPr="00576C3D">
        <w:t xml:space="preserve">Første ledd </w:t>
      </w:r>
      <w:r w:rsidRPr="00576C3D">
        <w:rPr>
          <w:rStyle w:val="kursiv"/>
        </w:rPr>
        <w:t>andre punktum</w:t>
      </w:r>
      <w:r w:rsidRPr="00576C3D">
        <w:t xml:space="preserve"> gir hjemmel for tollmyndigheten til å føre tilsyn i tråd med bestemmelser gitt i </w:t>
      </w:r>
      <w:proofErr w:type="gramStart"/>
      <w:r w:rsidRPr="00576C3D">
        <w:t>medhold av</w:t>
      </w:r>
      <w:proofErr w:type="gramEnd"/>
      <w:r w:rsidRPr="00576C3D">
        <w:t xml:space="preserve"> loven når CBAM-varer føres til norsk kontinentalsokkel eller økonomisk sone. Tollmyndigheten skal føre tilsyn etter reglene i gjennomføringsforordningen om CBAM-varer brakt til kontinentalsokkelen eller eksklusiv økonomisk sone. I artikkel 9 i gjennomføringsforordningen </w:t>
      </w:r>
      <w:proofErr w:type="gramStart"/>
      <w:r w:rsidRPr="00576C3D">
        <w:t>fremgår</w:t>
      </w:r>
      <w:proofErr w:type="gramEnd"/>
      <w:r w:rsidRPr="00576C3D">
        <w:t xml:space="preserve"> prosedyrer for tollmyndighetene når de skal kontrollere og føre tilsyn med CBAM-varer i disse områdene. Det vises til en nærmere beskrivelse av dette i punkt 5.8.3.</w:t>
      </w:r>
    </w:p>
    <w:p w14:paraId="71F655F7" w14:textId="77777777" w:rsidR="005D314E" w:rsidRPr="00576C3D" w:rsidRDefault="005D314E" w:rsidP="00576C3D">
      <w:pPr>
        <w:rPr>
          <w:rStyle w:val="kursiv"/>
        </w:rPr>
      </w:pPr>
      <w:r w:rsidRPr="00576C3D">
        <w:rPr>
          <w:rStyle w:val="kursiv"/>
        </w:rPr>
        <w:t>Andre ledd</w:t>
      </w:r>
      <w:r w:rsidRPr="00576C3D">
        <w:t xml:space="preserve"> fastsetter at ansvarlig myndighet skal ha fri adgang til bygninger, transportmidler, lagre, innretninger eller områder hvor varer som er omfattet av denne loven befinner eller kan befinne seg, eller som benyttes i næringsvirksomheten til aktører som innfører eller oppbevarer slike varer. Bestemmelsen er generelt utformet slik at den ved behov kan benyttes for samtlige kontrolloppgaver under CBAM-regelverket. Alternativet «kan befinne seg» er ment å dekke situasjoner hvor det ikke er klart eller bekreftet at de aktuelle varene faller inn under CBAM-regelverket, men hvor det er grunn til å anta at de gjør det. Ordlyden «som benyttes i næringsvirksomheten» er ment å omfatte kontorer eller andre lokasjoner hvor ikke selve CBAM-varen befinner seg, men hvor det likevel befinner seg relevant informasjon for lovens virkeområde, så lenge disse stedene hører til aktører som «innfører eller oppbevarer slike varer». Ordlyden «innfører» skal forstås som alle former for innførsel innenfor virkeområdet til loven.</w:t>
      </w:r>
    </w:p>
    <w:p w14:paraId="124CEAEE" w14:textId="77777777" w:rsidR="005D314E" w:rsidRPr="00576C3D" w:rsidRDefault="005D314E" w:rsidP="00576C3D">
      <w:pPr>
        <w:rPr>
          <w:rStyle w:val="kursiv"/>
        </w:rPr>
      </w:pPr>
      <w:r w:rsidRPr="00576C3D">
        <w:rPr>
          <w:rStyle w:val="kursiv"/>
        </w:rPr>
        <w:t xml:space="preserve">Tredje ledd </w:t>
      </w:r>
      <w:r w:rsidRPr="00576C3D">
        <w:t>gir ansvarlig myndighet hjemmel til å kreve å få lagt fram dokumenter og annet materiale som kan ha betydning for forvaltningen av CBAM. Ordlyden «kan ha betydning» gir hjemmel til å kreve å få forelagt dokumenter og annet materiale uten at det på forhånd må være sannsynlig at dokumentene har betydning. CBAM-forordningen og de underliggende rettsaktene vil imidlertid sette rammene for hva som kan anses å være av betydning for ansvarlige myndigheter. Det må derfor være en saklig sammenheng med de konkrete reglene i CBAM som er gjenstand for kontroll for at ansvarlig myndighet kan kreve å få dokumenter og annet materiale forelagt. Øvrige forvaltningsrettslige prinsipper vil også sette rammer for hvilke dokumenter som kan kreves fremlagt.</w:t>
      </w:r>
    </w:p>
    <w:p w14:paraId="2BDD6C3A" w14:textId="77777777" w:rsidR="005D314E" w:rsidRPr="00576C3D" w:rsidRDefault="005D314E" w:rsidP="00576C3D">
      <w:pPr>
        <w:rPr>
          <w:rStyle w:val="kursiv"/>
        </w:rPr>
      </w:pPr>
      <w:r w:rsidRPr="00576C3D">
        <w:rPr>
          <w:rStyle w:val="kursiv"/>
        </w:rPr>
        <w:t>Fjerde ledd</w:t>
      </w:r>
      <w:r w:rsidRPr="00576C3D">
        <w:t xml:space="preserve"> gir hjemmel til å undersøke, ta prøver av og kontrollere varer «som er, eller kan være regulert i </w:t>
      </w:r>
      <w:proofErr w:type="gramStart"/>
      <w:r w:rsidRPr="00576C3D">
        <w:t>medhold av</w:t>
      </w:r>
      <w:proofErr w:type="gramEnd"/>
      <w:r w:rsidRPr="00576C3D">
        <w:t xml:space="preserve"> denne loven». Det er tilstrekkelig at det er en berettiget mistanke om at en vare er omfattet av CBAM. Som for tredje ledd må bestemmelsen tolkes i lys av reglene i CBAM-forordningen og underliggende rettsakter, og generelle forvaltningsrettslige prinsipper for forsvarlig saksbehandling.</w:t>
      </w:r>
    </w:p>
    <w:p w14:paraId="688DB6A6" w14:textId="77777777" w:rsidR="005D314E" w:rsidRPr="00576C3D" w:rsidRDefault="005D314E" w:rsidP="00576C3D">
      <w:r w:rsidRPr="00576C3D">
        <w:t xml:space="preserve">Overvåkingen av omgåelse av den nedre importgrensen etter artikkel 25a er ett eksempel på en kontroll hvor det ikke kun er behov for å få forelagt dokumentasjon på, eller undersøke varer som allerede er konstatert å falle inn under CBAM-forordningen. I slike tilfeller er det også behov for å se på dokumentasjon av, eller undersøke andre varer for å </w:t>
      </w:r>
      <w:proofErr w:type="gramStart"/>
      <w:r w:rsidRPr="00576C3D">
        <w:t>potensielt</w:t>
      </w:r>
      <w:proofErr w:type="gramEnd"/>
      <w:r w:rsidRPr="00576C3D">
        <w:t xml:space="preserve"> avdekke omgåelsesmønstre.</w:t>
      </w:r>
    </w:p>
    <w:p w14:paraId="1FA4E662" w14:textId="77777777" w:rsidR="005D314E" w:rsidRPr="00576C3D" w:rsidRDefault="005D314E" w:rsidP="00576C3D">
      <w:pPr>
        <w:pStyle w:val="avsnitt-undertittel"/>
      </w:pPr>
      <w:r w:rsidRPr="00576C3D">
        <w:t>Til § 5 Opplysningsplikt</w:t>
      </w:r>
    </w:p>
    <w:p w14:paraId="1426FC8B" w14:textId="77777777" w:rsidR="005D314E" w:rsidRPr="00576C3D" w:rsidRDefault="005D314E" w:rsidP="00576C3D">
      <w:r w:rsidRPr="00576C3D">
        <w:t>Bestemmelsen gir hjemmel for ansvarlig myndighet til å kreve opplysninger som er nødvendige for å utføre oppgaver knyttet til autorisasjon av CBAM-</w:t>
      </w:r>
      <w:proofErr w:type="spellStart"/>
      <w:r w:rsidRPr="00576C3D">
        <w:t>deklaranter</w:t>
      </w:r>
      <w:proofErr w:type="spellEnd"/>
      <w:r w:rsidRPr="00576C3D">
        <w:t>, kontroll av CBAM-erklæringer og for å fatte vedtak om manglende CBAM-sertifikater.</w:t>
      </w:r>
    </w:p>
    <w:p w14:paraId="36B32A27" w14:textId="77777777" w:rsidR="005D314E" w:rsidRPr="00576C3D" w:rsidRDefault="005D314E" w:rsidP="00576C3D">
      <w:pPr>
        <w:rPr>
          <w:rStyle w:val="kursiv"/>
        </w:rPr>
      </w:pPr>
      <w:r w:rsidRPr="00576C3D">
        <w:rPr>
          <w:rStyle w:val="kursiv"/>
        </w:rPr>
        <w:t xml:space="preserve">Første ledd </w:t>
      </w:r>
      <w:r w:rsidRPr="00576C3D">
        <w:t>gir ansvarlig myndighet hjemmel til å pålegge søkeren eller den autoriserte CBAM-</w:t>
      </w:r>
      <w:proofErr w:type="spellStart"/>
      <w:r w:rsidRPr="00576C3D">
        <w:t>deklaranten</w:t>
      </w:r>
      <w:proofErr w:type="spellEnd"/>
      <w:r w:rsidRPr="00576C3D">
        <w:t xml:space="preserve"> å gi opplysninger og å fremlegge avgrenset uttømmende politiattest, jf. politiregisterloven § 41 nr. 1, når dette er nødvendig for å kontrollere om vilkårene i artikkel 17 nr. 2 er overholdt. Hvilke «opplysninger» ansvarlig myndighet kan pålegge søkeren eller CBAM-</w:t>
      </w:r>
      <w:proofErr w:type="spellStart"/>
      <w:r w:rsidRPr="00576C3D">
        <w:t>deklaranten</w:t>
      </w:r>
      <w:proofErr w:type="spellEnd"/>
      <w:r w:rsidRPr="00576C3D">
        <w:t xml:space="preserve"> følger av CBAM-forordningen artikkel 5 og 17, og autoriseringsforordningen artikkel 5 og 22, men selve plikten til å gi opplysninger er løftet opp til lovs nivå. Ved fremleggelse av avgrenset uttømmende politiattest skal ansvarlig myndighet kun vektlegge reaksjoner ilagt de siste fem årene. Hvilke straffebestemmelser som skal vises på attesten vil følge av forskrift.</w:t>
      </w:r>
    </w:p>
    <w:p w14:paraId="1264E2DA" w14:textId="77777777" w:rsidR="005D314E" w:rsidRPr="00576C3D" w:rsidRDefault="005D314E" w:rsidP="00576C3D">
      <w:pPr>
        <w:rPr>
          <w:rStyle w:val="kursiv"/>
        </w:rPr>
      </w:pPr>
      <w:r w:rsidRPr="00576C3D">
        <w:rPr>
          <w:rStyle w:val="kursiv"/>
        </w:rPr>
        <w:t>Andre ledd</w:t>
      </w:r>
      <w:r w:rsidRPr="00576C3D">
        <w:t xml:space="preserve"> gir ansvarlig myndighet hjemmel til å kreve opplysninger fra skattemyndighetene, tollmyndighetene og innkrevingsmyndighetene når dette er nødvendig for å vurdere om vilkårene i CBAM-forordningen artikkel 17 nr. 2 bokstav a og b er overholdt.</w:t>
      </w:r>
    </w:p>
    <w:p w14:paraId="435F8004" w14:textId="77777777" w:rsidR="005D314E" w:rsidRPr="00576C3D" w:rsidRDefault="005D314E" w:rsidP="00576C3D">
      <w:pPr>
        <w:rPr>
          <w:rStyle w:val="kursiv"/>
        </w:rPr>
      </w:pPr>
      <w:r w:rsidRPr="00576C3D">
        <w:rPr>
          <w:rStyle w:val="kursiv"/>
        </w:rPr>
        <w:t>Tredje ledd</w:t>
      </w:r>
      <w:r w:rsidRPr="00576C3D">
        <w:t xml:space="preserve"> gir ansvarlig myndighet hjemmel til å kreve nødvendige opplysninger fra importører av CBAM-varer, deres tollrepresentanter, representanter som nevnt i CBAM-forordningen artikkel 5 nr. 7 bokstav a, samt deres kontraktsparter og medhjelpere. Ordlyden «kontraktsparter og kontraktsmedhjelpere» er ment å omfatte enhver om er involvert i en CBAM-</w:t>
      </w:r>
      <w:proofErr w:type="spellStart"/>
      <w:r w:rsidRPr="00576C3D">
        <w:t>deklarant</w:t>
      </w:r>
      <w:proofErr w:type="spellEnd"/>
      <w:r w:rsidRPr="00576C3D">
        <w:t xml:space="preserve"> eller en importørs innførsel av CBAM-varer, og som dermed kan ha opplysninger om varens egenskaper. Opplysningene skal være nødvendige for å utføre oppgaver etter CBAM-forordningen artikkel 19 nr. 2 og 5 og artikkel 25a, som gjelder henholdsvis kontroll av CBAM-erklæringen, vedtak om manglende innleverte CBAM-sertifikater og overvåking av den nedre importgrense.</w:t>
      </w:r>
    </w:p>
    <w:p w14:paraId="41BEE37C" w14:textId="77777777" w:rsidR="005D314E" w:rsidRPr="00576C3D" w:rsidRDefault="005D314E" w:rsidP="00576C3D">
      <w:r w:rsidRPr="00576C3D">
        <w:t>Tredje ledd omfatter autoriserte CBAM-</w:t>
      </w:r>
      <w:proofErr w:type="spellStart"/>
      <w:r w:rsidRPr="00576C3D">
        <w:t>deklaranter</w:t>
      </w:r>
      <w:proofErr w:type="spellEnd"/>
      <w:r w:rsidRPr="00576C3D">
        <w:t>, men også andre importører av CBAM-varer som ikke er autorisert, men hvor det er mistanke om at vedkommende skulle vært autorisert, f.eks. ved mistanke om at vedkommende har overskredet den nedre importgrensen.</w:t>
      </w:r>
    </w:p>
    <w:p w14:paraId="5329D134" w14:textId="77777777" w:rsidR="005D314E" w:rsidRPr="00576C3D" w:rsidRDefault="005D314E" w:rsidP="00576C3D">
      <w:pPr>
        <w:rPr>
          <w:rStyle w:val="kursiv"/>
        </w:rPr>
      </w:pPr>
      <w:r w:rsidRPr="00576C3D">
        <w:rPr>
          <w:rStyle w:val="kursiv"/>
        </w:rPr>
        <w:t>Fjerde ledd</w:t>
      </w:r>
      <w:r w:rsidRPr="00576C3D">
        <w:t xml:space="preserve"> presiserer at opplysningene skal gis uten hinder av taushetsplikt og at ansvarlig myndighet kan bestemme i hvilken form opplysningene skal gis.</w:t>
      </w:r>
    </w:p>
    <w:p w14:paraId="064BAAD6" w14:textId="77777777" w:rsidR="005D314E" w:rsidRPr="00576C3D" w:rsidRDefault="005D314E" w:rsidP="00576C3D">
      <w:r w:rsidRPr="00576C3D">
        <w:t>Departementet viser til omtalen i punkt 5.9.3 for en nærmere omtale av bakgrunnen for bestemmelsen.</w:t>
      </w:r>
    </w:p>
    <w:p w14:paraId="1FE57949" w14:textId="77777777" w:rsidR="005D314E" w:rsidRPr="00576C3D" w:rsidRDefault="005D314E" w:rsidP="00576C3D">
      <w:pPr>
        <w:pStyle w:val="avsnitt-undertittel"/>
      </w:pPr>
      <w:r w:rsidRPr="00576C3D">
        <w:t>Til § 6 Tvangsmulkt</w:t>
      </w:r>
    </w:p>
    <w:p w14:paraId="416A9912" w14:textId="77777777" w:rsidR="005D314E" w:rsidRPr="00576C3D" w:rsidRDefault="005D314E" w:rsidP="00576C3D">
      <w:r w:rsidRPr="00576C3D">
        <w:t>Loven § 6 gir ansvarlig myndighet hjemmel til å treffe enkeltvedtak om tvangsmulkt.</w:t>
      </w:r>
    </w:p>
    <w:p w14:paraId="317F202E" w14:textId="77777777" w:rsidR="005D314E" w:rsidRPr="00576C3D" w:rsidRDefault="005D314E" w:rsidP="00576C3D">
      <w:r w:rsidRPr="00576C3D">
        <w:rPr>
          <w:rStyle w:val="kursiv"/>
        </w:rPr>
        <w:t>Første ledd</w:t>
      </w:r>
      <w:r w:rsidRPr="00576C3D">
        <w:t xml:space="preserve"> er generelt utformet og fastsetter at tvangsmulkt kan ilegges når overtredelse av loven eller forskrift gitt med hjemmel i loven, er oppdaget. Tilsvarende gjelder for overtredelse av enkeltvedtak fattet i </w:t>
      </w:r>
      <w:proofErr w:type="gramStart"/>
      <w:r w:rsidRPr="00576C3D">
        <w:t>medhold av</w:t>
      </w:r>
      <w:proofErr w:type="gramEnd"/>
      <w:r w:rsidRPr="00576C3D">
        <w:t xml:space="preserve"> loven eller i forskrift gitt med hjemmel i loven. Formålet er å sikre oppfyllelse av forpliktelsene i CBAM-forordningen og underliggende rettsakter.</w:t>
      </w:r>
    </w:p>
    <w:p w14:paraId="750259FA" w14:textId="77777777" w:rsidR="005D314E" w:rsidRPr="00576C3D" w:rsidRDefault="005D314E" w:rsidP="00576C3D">
      <w:pPr>
        <w:rPr>
          <w:rStyle w:val="kursiv"/>
        </w:rPr>
      </w:pPr>
      <w:r w:rsidRPr="00576C3D">
        <w:rPr>
          <w:rStyle w:val="kursiv"/>
        </w:rPr>
        <w:t>Andre ledd</w:t>
      </w:r>
      <w:r w:rsidRPr="00576C3D">
        <w:t xml:space="preserve"> presiserer at tvangsmulkt kan fastsettes fra det tidspunkt overtredelsen oppdages.</w:t>
      </w:r>
    </w:p>
    <w:p w14:paraId="7642C0C8" w14:textId="77777777" w:rsidR="005D314E" w:rsidRPr="00576C3D" w:rsidRDefault="005D314E" w:rsidP="00576C3D">
      <w:pPr>
        <w:rPr>
          <w:rStyle w:val="kursiv"/>
        </w:rPr>
      </w:pPr>
      <w:r w:rsidRPr="00576C3D">
        <w:rPr>
          <w:rStyle w:val="kursiv"/>
        </w:rPr>
        <w:t>Tredje ledd</w:t>
      </w:r>
      <w:r w:rsidRPr="00576C3D">
        <w:t xml:space="preserve"> angir at tvangsmulkt skal ilegges den ansvarlige for overtredelsen. Dersom overtredelsen er begått på vegne av et foretak, skal tvangsmulkten som hovedregel ilegges foretaket.</w:t>
      </w:r>
    </w:p>
    <w:p w14:paraId="79EAA752" w14:textId="77777777" w:rsidR="005D314E" w:rsidRPr="00576C3D" w:rsidRDefault="005D314E" w:rsidP="00576C3D">
      <w:r w:rsidRPr="00576C3D">
        <w:t xml:space="preserve">Bestemmelsen suppleres av forvaltningsloven § 51 som gir nærmere rammer for bruk av tvangsmulkt, blant annet at tvangsmulkt kan fastsettes som engangsbeløp eller som løpende mulkt, og at mulkten ikke påløper dersom etterlevelse blir umulig og årsaken ikke ligger hos den ansvarlige. Videre kan forvaltningsmyndigheten i særlige tilfeller redusere eller frafalle påløpt mulkt. Det vises til merknadene til § 51 i </w:t>
      </w:r>
      <w:proofErr w:type="spellStart"/>
      <w:r w:rsidRPr="00576C3D">
        <w:t>Prop</w:t>
      </w:r>
      <w:proofErr w:type="spellEnd"/>
      <w:r w:rsidRPr="00576C3D">
        <w:t xml:space="preserve">. 62 L (2015–2016) </w:t>
      </w:r>
      <w:r w:rsidRPr="00576C3D">
        <w:rPr>
          <w:rStyle w:val="kursiv"/>
        </w:rPr>
        <w:t>Endringer i forvaltningsloven</w:t>
      </w:r>
      <w:r w:rsidRPr="00576C3D">
        <w:t>. Etter tvangsfullbyrdelsesloven § 7-2 bokstav d utgjør vedtak om tvangsmulkt tvangsgrunnlag for utlegg.</w:t>
      </w:r>
    </w:p>
    <w:p w14:paraId="3A21FFEE" w14:textId="77777777" w:rsidR="005D314E" w:rsidRPr="00576C3D" w:rsidRDefault="005D314E" w:rsidP="00576C3D">
      <w:pPr>
        <w:pStyle w:val="avsnitt-undertittel"/>
      </w:pPr>
      <w:r w:rsidRPr="00576C3D">
        <w:t>Til § 7 Overtredelsesgebyr</w:t>
      </w:r>
    </w:p>
    <w:p w14:paraId="45643323" w14:textId="77777777" w:rsidR="005D314E" w:rsidRPr="00576C3D" w:rsidRDefault="005D314E" w:rsidP="00576C3D">
      <w:r w:rsidRPr="00576C3D">
        <w:t>Bestemmelsen gir hjemmel til å ilegge overtredelsesgebyr i tråd med reglene i CBAM-forordningen artikkel 26.</w:t>
      </w:r>
    </w:p>
    <w:p w14:paraId="300AB236" w14:textId="77777777" w:rsidR="005D314E" w:rsidRPr="00576C3D" w:rsidRDefault="005D314E" w:rsidP="00576C3D">
      <w:r w:rsidRPr="00576C3D">
        <w:t xml:space="preserve">I </w:t>
      </w:r>
      <w:r w:rsidRPr="00576C3D">
        <w:rPr>
          <w:rStyle w:val="kursiv"/>
        </w:rPr>
        <w:t>første ledd</w:t>
      </w:r>
      <w:r w:rsidRPr="00576C3D">
        <w:t xml:space="preserve"> fremgår det at ansvarlig myndighet kan ilegge slike gebyr til den «ansvarlige», herunder foretak, i samsvar med artikkel 26 i CBAM-forordningen. Gebyret skal ilegges uten hensyn til skyld. Det oppstilles dermed et annet skyldkrav enn det som følger av forvaltningsloven § 46. Dette objektive ansvaret er imidlertid ikke absolutt, da det etter EMK gjelder et unntak for force majeure. Bestemmelsen må derfor praktiseres i tråd med praksis fra Den europeiske menneskerettighetsdomstol. Det vises </w:t>
      </w:r>
      <w:proofErr w:type="gramStart"/>
      <w:r w:rsidRPr="00576C3D">
        <w:t>for øvrig</w:t>
      </w:r>
      <w:proofErr w:type="gramEnd"/>
      <w:r w:rsidRPr="00576C3D">
        <w:t xml:space="preserve"> til departementets vurdering i punkt 5.11 av skyldkravet i CBAM-forordningen artikkel 26 og om forholdet til EMK.</w:t>
      </w:r>
    </w:p>
    <w:p w14:paraId="25639C0F" w14:textId="77777777" w:rsidR="005D314E" w:rsidRPr="00576C3D" w:rsidRDefault="005D314E" w:rsidP="00576C3D">
      <w:r w:rsidRPr="00576C3D">
        <w:rPr>
          <w:rStyle w:val="kursiv"/>
        </w:rPr>
        <w:t>Andre ledd</w:t>
      </w:r>
      <w:r w:rsidRPr="00576C3D">
        <w:t xml:space="preserve"> fastsetter særskilte regler om foreldelse. For overtredelsesgebyr etter CBAM-forordningen artikkel 26 nr. 1 fastsettes en foreldelsesfrist på fem år fra overtredelsen opphører. Overtredelsen anses opphørt når fristen for levering av sertifikater utløper, jf. CBAM-forordningen artikkel 22 nr. 1. For overtredelsesgebyr etter artikkel 26 nr. 2 og 26 nr. 2a gjelder en foreldelsesfrist på to år fra overtredelsen opphører. Det vises </w:t>
      </w:r>
      <w:proofErr w:type="gramStart"/>
      <w:r w:rsidRPr="00576C3D">
        <w:t>for øvrig</w:t>
      </w:r>
      <w:proofErr w:type="gramEnd"/>
      <w:r w:rsidRPr="00576C3D">
        <w:t xml:space="preserve"> til proposisjonens punkt 5.11.3 og begrunnelsen omtalt der.</w:t>
      </w:r>
    </w:p>
    <w:p w14:paraId="7966A823" w14:textId="77777777" w:rsidR="005D314E" w:rsidRPr="00576C3D" w:rsidRDefault="005D314E" w:rsidP="00576C3D">
      <w:r w:rsidRPr="00576C3D">
        <w:t>Foreldelsesfristen avbrytes ved at ansvarlig myndighet gir forhåndsvarsel eller fatter enkeltvedtak om overtredelsesgebyr.</w:t>
      </w:r>
    </w:p>
    <w:p w14:paraId="724D4BDC" w14:textId="77777777" w:rsidR="005D314E" w:rsidRPr="00576C3D" w:rsidRDefault="005D314E" w:rsidP="00576C3D">
      <w:pPr>
        <w:pStyle w:val="avsnitt-undertittel"/>
      </w:pPr>
      <w:r w:rsidRPr="00576C3D">
        <w:t>Til § 8 Innkreving</w:t>
      </w:r>
    </w:p>
    <w:p w14:paraId="1A642E96" w14:textId="77777777" w:rsidR="005D314E" w:rsidRPr="00576C3D" w:rsidRDefault="005D314E" w:rsidP="00576C3D">
      <w:r w:rsidRPr="00576C3D">
        <w:t>CBAM-loven § 8 fastsetter at krav som oppstår i forbindelse med CBAM skal innkreves av «innkrevingsmyndigheten», som er innkrevingsmyndigheten under Skatteetaten. Dette omfatter krav om betaling av påløpt tvangsmulkt etter § 6 og overtredelsesgebyr etter § 7. Innkrevingen skjer i samsvar med reglene i den nye innkrevingsloven (LOV-2025-04-25-12), som trådte i kraft 1. januar 2026, jf. innkrevingsloven § 2 første ledd. Videre følger det av § 8 at forsinkelsesrenter løper fra forfall.</w:t>
      </w:r>
    </w:p>
    <w:p w14:paraId="105BE71E" w14:textId="77777777" w:rsidR="005D314E" w:rsidRPr="00576C3D" w:rsidRDefault="005D314E" w:rsidP="00576C3D">
      <w:pPr>
        <w:pStyle w:val="avsnitt-undertittel"/>
      </w:pPr>
      <w:r w:rsidRPr="00576C3D">
        <w:t>Til § 9 Ikrafttredelse</w:t>
      </w:r>
    </w:p>
    <w:p w14:paraId="30BE2D56" w14:textId="77777777" w:rsidR="005D314E" w:rsidRPr="00576C3D" w:rsidRDefault="005D314E" w:rsidP="00576C3D">
      <w:r w:rsidRPr="00576C3D">
        <w:t>Loven trer i kraft fra det tidspunkt Kongen bestemmer. Ikrafttredelse er betinget av at EØS-komiteens beslutning om innlemmelse i EØS-avtalen av CBAM-forordningen og endringsforordningen om forenklinger.</w:t>
      </w:r>
    </w:p>
    <w:p w14:paraId="0ADE0201" w14:textId="77777777" w:rsidR="005D314E" w:rsidRPr="00576C3D" w:rsidRDefault="005D314E" w:rsidP="00576C3D">
      <w:pPr>
        <w:pStyle w:val="a-tilraar-dep"/>
      </w:pPr>
      <w:r w:rsidRPr="00576C3D">
        <w:t>Klima- og miljødepartementet</w:t>
      </w:r>
    </w:p>
    <w:p w14:paraId="01FF97F7" w14:textId="77777777" w:rsidR="005D314E" w:rsidRPr="00576C3D" w:rsidRDefault="005D314E" w:rsidP="00576C3D">
      <w:pPr>
        <w:pStyle w:val="a-tilraar-tit"/>
      </w:pPr>
      <w:r w:rsidRPr="00576C3D">
        <w:t>tilrår:</w:t>
      </w:r>
    </w:p>
    <w:p w14:paraId="457589AA" w14:textId="77777777" w:rsidR="005D314E" w:rsidRPr="00576C3D" w:rsidRDefault="005D314E" w:rsidP="00576C3D">
      <w:r w:rsidRPr="00576C3D">
        <w:t>At Deres Majestet godkjenner og skriver under et framlagt forslag til proposisjon til Stortinget om lov om justering av karbonpris ved import av varer til EØS (CBAM-loven) og samtykke til deltakelse i beslutninger i EØS-komiteen om innlemmelse i EØS-avtalen av forordning (EU) 2023/956 (CBAM-forordningen) og forordning (EU) 2025/2083 (endringer i CBAM-forordningen), og om tilgang til og finansiering av IT-tekniske systemer i CBAM.</w:t>
      </w:r>
    </w:p>
    <w:p w14:paraId="492F1BAC" w14:textId="77777777" w:rsidR="005D314E" w:rsidRPr="00576C3D" w:rsidRDefault="005D314E" w:rsidP="00576C3D">
      <w:pPr>
        <w:pStyle w:val="a-konge-tekst"/>
      </w:pPr>
      <w:r w:rsidRPr="00576C3D">
        <w:rPr>
          <w:rStyle w:val="halvfet0"/>
        </w:rPr>
        <w:t>Vi HARALD,</w:t>
      </w:r>
      <w:r w:rsidRPr="00576C3D">
        <w:t xml:space="preserve"> Norges Konge,</w:t>
      </w:r>
    </w:p>
    <w:p w14:paraId="2F4568F5" w14:textId="77777777" w:rsidR="005D314E" w:rsidRPr="00576C3D" w:rsidRDefault="005D314E" w:rsidP="00576C3D">
      <w:pPr>
        <w:pStyle w:val="a-konge-tit"/>
      </w:pPr>
      <w:r w:rsidRPr="00576C3D">
        <w:t>stadfester:</w:t>
      </w:r>
    </w:p>
    <w:p w14:paraId="14D83FD2" w14:textId="77777777" w:rsidR="005D314E" w:rsidRPr="00576C3D" w:rsidRDefault="005D314E" w:rsidP="00576C3D">
      <w:r w:rsidRPr="00576C3D">
        <w:t>Stortinget blir bedt om å gjøre vedtak til lov om justering av karbonpris ved import av varer til EØS (CBAM-loven) og vedtak om samtykke til deltakelse i beslutninger i EØS-komiteen om innlemmelse i EØS-avtalen av forordning (EU) 2023/956 (CBAM-forordningen) og forordning (EU) 2025/2083 (endringer i CBAM-forordningen), og om tilgang til og finansiering av IT-tekniske systemer i CBAM i samsvar med et vedlagt forslag.</w:t>
      </w:r>
    </w:p>
    <w:p w14:paraId="47151356" w14:textId="572013EA" w:rsidR="005D314E" w:rsidRPr="00576C3D" w:rsidRDefault="005D314E" w:rsidP="00576C3D">
      <w:pPr>
        <w:pStyle w:val="a-vedtak-tit"/>
      </w:pPr>
      <w:r w:rsidRPr="00576C3D">
        <w:t>A</w:t>
      </w:r>
      <w:r w:rsidR="003254A1">
        <w:t xml:space="preserve"> </w:t>
      </w:r>
      <w:r w:rsidRPr="00576C3D">
        <w:t>Forslag</w:t>
      </w:r>
    </w:p>
    <w:p w14:paraId="0E939EFD" w14:textId="04A8CD21" w:rsidR="005D314E" w:rsidRPr="00576C3D" w:rsidRDefault="005D314E" w:rsidP="00576C3D">
      <w:pPr>
        <w:pStyle w:val="a-vedtak-tit"/>
      </w:pPr>
      <w:r w:rsidRPr="00576C3D">
        <w:t>til lov om justering av karbonpris ved import av varer til EØS (CBAM-loven)</w:t>
      </w:r>
    </w:p>
    <w:p w14:paraId="50471418" w14:textId="77777777" w:rsidR="005D314E" w:rsidRPr="00576C3D" w:rsidRDefault="005D314E" w:rsidP="00576C3D">
      <w:pPr>
        <w:pStyle w:val="l-paragraf"/>
        <w:rPr>
          <w:rStyle w:val="regular"/>
        </w:rPr>
      </w:pPr>
      <w:r w:rsidRPr="00576C3D">
        <w:rPr>
          <w:rStyle w:val="regular"/>
        </w:rPr>
        <w:t>§ 1</w:t>
      </w:r>
      <w:r w:rsidRPr="00576C3D">
        <w:t xml:space="preserve"> Virkeområde</w:t>
      </w:r>
    </w:p>
    <w:p w14:paraId="51DAC1CC" w14:textId="77777777" w:rsidR="005D314E" w:rsidRPr="00576C3D" w:rsidRDefault="005D314E" w:rsidP="00576C3D">
      <w:pPr>
        <w:pStyle w:val="l-ledd"/>
      </w:pPr>
      <w:r w:rsidRPr="00576C3D">
        <w:t>Loven gjelder når varer importeres til tollområdet som definert i vareførselsloven § 1-2 annet ledd, eller føres til en kunstig øy, en fast eller flytende innretning eller enhver annen struktur på norsk kontinentalsokkel eller i norsk økonomisk sone i den utstrekning disse områdene er tilstøtende til tollområdet.</w:t>
      </w:r>
    </w:p>
    <w:p w14:paraId="50498A39" w14:textId="77777777" w:rsidR="005D314E" w:rsidRPr="00576C3D" w:rsidRDefault="005D314E" w:rsidP="00576C3D">
      <w:pPr>
        <w:pStyle w:val="l-ledd"/>
      </w:pPr>
      <w:r w:rsidRPr="00576C3D">
        <w:t>Loven gjelder også når aktører etablert i Norge importerer varer til andre tollområder i EØS-området, med unntak av Liechtensteins tollområde, eller fører varer til en kunstig øy, en fast eller flytende innretning eller enhver annen struktur i økonomiske soner eller kontinentalsokler som er tilstøtende til andre tollområder i EØS-området.</w:t>
      </w:r>
    </w:p>
    <w:p w14:paraId="304881C0" w14:textId="77777777" w:rsidR="005D314E" w:rsidRPr="00576C3D" w:rsidRDefault="005D314E" w:rsidP="00576C3D">
      <w:pPr>
        <w:pStyle w:val="l-paragraf"/>
        <w:rPr>
          <w:rStyle w:val="regular"/>
        </w:rPr>
      </w:pPr>
      <w:r w:rsidRPr="00576C3D">
        <w:rPr>
          <w:rStyle w:val="regular"/>
        </w:rPr>
        <w:t xml:space="preserve">§ 2 </w:t>
      </w:r>
      <w:r w:rsidRPr="00576C3D">
        <w:t>Mekanisme for justering av karbonpris (CBAM)</w:t>
      </w:r>
    </w:p>
    <w:p w14:paraId="68A682CE" w14:textId="77777777" w:rsidR="005D314E" w:rsidRPr="00576C3D" w:rsidRDefault="005D314E" w:rsidP="00576C3D">
      <w:pPr>
        <w:pStyle w:val="l-ledd"/>
      </w:pPr>
      <w:r w:rsidRPr="00576C3D">
        <w:t xml:space="preserve">Forordning (EU) 2023/956 om opprettelse av en karbongrensejusteringsmekanisme (CBAM-forordningen), som inntatt i EØS-avtalen vedlegg xx nr. 21azr, gjelder som lov. Forordningen gjelder med tilpasningene som følger av vedlegg xx, protokoll 1 til avtalen og avtalen </w:t>
      </w:r>
      <w:proofErr w:type="gramStart"/>
      <w:r w:rsidRPr="00576C3D">
        <w:t>for øvrig</w:t>
      </w:r>
      <w:proofErr w:type="gramEnd"/>
      <w:r w:rsidRPr="00576C3D">
        <w:t xml:space="preserve"> og med endringene som følger av forordning (EU) 2025/2083.</w:t>
      </w:r>
    </w:p>
    <w:p w14:paraId="56F513CB" w14:textId="77777777" w:rsidR="005D314E" w:rsidRPr="00576C3D" w:rsidRDefault="005D314E" w:rsidP="00576C3D">
      <w:pPr>
        <w:pStyle w:val="l-ledd"/>
      </w:pPr>
      <w:r w:rsidRPr="00576C3D">
        <w:t xml:space="preserve">Kongen kan gi forskrift for å gjennomføre underliggende rettsakter som vedtas av EU-kommisjonen i </w:t>
      </w:r>
      <w:proofErr w:type="gramStart"/>
      <w:r w:rsidRPr="00576C3D">
        <w:t>medhold av</w:t>
      </w:r>
      <w:proofErr w:type="gramEnd"/>
      <w:r w:rsidRPr="00576C3D">
        <w:t xml:space="preserve"> CBAM-forordningen og innlemmes i EØS-avtalen.</w:t>
      </w:r>
    </w:p>
    <w:p w14:paraId="13052F5C" w14:textId="77777777" w:rsidR="005D314E" w:rsidRPr="00576C3D" w:rsidRDefault="005D314E" w:rsidP="00576C3D">
      <w:pPr>
        <w:pStyle w:val="l-ledd"/>
      </w:pPr>
      <w:r w:rsidRPr="00576C3D">
        <w:t>Kongen kan gi forskrift om bestemmelser som er nødvendig å vedta for å supplere CBAM-forordningen og rettsakter vedtatt med hjemmel i denne, jf. annet ledd.</w:t>
      </w:r>
    </w:p>
    <w:p w14:paraId="48F6A361" w14:textId="77777777" w:rsidR="005D314E" w:rsidRPr="00576C3D" w:rsidRDefault="005D314E" w:rsidP="00576C3D">
      <w:pPr>
        <w:pStyle w:val="l-paragraf"/>
        <w:rPr>
          <w:rStyle w:val="regular"/>
        </w:rPr>
      </w:pPr>
      <w:r w:rsidRPr="00576C3D">
        <w:rPr>
          <w:rStyle w:val="regular"/>
        </w:rPr>
        <w:t xml:space="preserve">§ 3 </w:t>
      </w:r>
      <w:r w:rsidRPr="00576C3D">
        <w:t>Ansvarlig myndighet</w:t>
      </w:r>
    </w:p>
    <w:p w14:paraId="38E69A9A" w14:textId="77777777" w:rsidR="005D314E" w:rsidRPr="00576C3D" w:rsidRDefault="005D314E" w:rsidP="00576C3D">
      <w:pPr>
        <w:pStyle w:val="l-ledd"/>
      </w:pPr>
      <w:r w:rsidRPr="00576C3D">
        <w:t>Kongen bestemmer hvem som er ansvarlig myndighet etter loven.</w:t>
      </w:r>
    </w:p>
    <w:p w14:paraId="01C5E209" w14:textId="77777777" w:rsidR="005D314E" w:rsidRPr="00576C3D" w:rsidRDefault="005D314E" w:rsidP="00576C3D">
      <w:pPr>
        <w:pStyle w:val="l-paragraf"/>
        <w:rPr>
          <w:rStyle w:val="regular"/>
        </w:rPr>
      </w:pPr>
      <w:r w:rsidRPr="00576C3D">
        <w:rPr>
          <w:rStyle w:val="regular"/>
        </w:rPr>
        <w:t xml:space="preserve">§ 4 </w:t>
      </w:r>
      <w:r w:rsidRPr="00576C3D">
        <w:t>Tilsyn</w:t>
      </w:r>
    </w:p>
    <w:p w14:paraId="1F7D2FD0" w14:textId="77777777" w:rsidR="005D314E" w:rsidRPr="00576C3D" w:rsidRDefault="005D314E" w:rsidP="00576C3D">
      <w:pPr>
        <w:pStyle w:val="l-ledd"/>
      </w:pPr>
      <w:r w:rsidRPr="00576C3D">
        <w:t xml:space="preserve">Ansvarlig myndighet kan føre tilsyn med at bestemmelsene gitt i eller i </w:t>
      </w:r>
      <w:proofErr w:type="gramStart"/>
      <w:r w:rsidRPr="00576C3D">
        <w:t>medhold av</w:t>
      </w:r>
      <w:proofErr w:type="gramEnd"/>
      <w:r w:rsidRPr="00576C3D">
        <w:t xml:space="preserve"> loven overholdes. Tollmyndighetene kan føre tilsyn i tråd med bestemmelsene gitt i </w:t>
      </w:r>
      <w:proofErr w:type="gramStart"/>
      <w:r w:rsidRPr="00576C3D">
        <w:t>medhold av</w:t>
      </w:r>
      <w:proofErr w:type="gramEnd"/>
      <w:r w:rsidRPr="00576C3D">
        <w:t xml:space="preserve"> loven når CBAM-varer føres til norsk kontinentalsokkelen eller norsk økonomisk sone.</w:t>
      </w:r>
    </w:p>
    <w:p w14:paraId="20A00F6A" w14:textId="77777777" w:rsidR="005D314E" w:rsidRPr="00576C3D" w:rsidRDefault="005D314E" w:rsidP="00576C3D">
      <w:pPr>
        <w:pStyle w:val="l-ledd"/>
      </w:pPr>
      <w:r w:rsidRPr="00576C3D">
        <w:t>Ansvarlig myndighet skal ha fri adgang til bygninger, transportmidler, lagre, innretninger eller områder hvor varer som er omfattet av denne loven befinner eller kan befinne seg, eller som benyttes i næringsvirksomheten til aktører som innfører eller oppbevarer slike varer.</w:t>
      </w:r>
    </w:p>
    <w:p w14:paraId="377C1F9D" w14:textId="77777777" w:rsidR="005D314E" w:rsidRPr="00576C3D" w:rsidRDefault="005D314E" w:rsidP="00576C3D">
      <w:pPr>
        <w:pStyle w:val="l-ledd"/>
      </w:pPr>
      <w:r w:rsidRPr="00576C3D">
        <w:t>Ansvarlig myndighet kan kreve å få lagt frem og få granske dokumenter og annet materiale som kan ha betydning for deres oppgaver etter denne loven.</w:t>
      </w:r>
    </w:p>
    <w:p w14:paraId="2FD5962A" w14:textId="77777777" w:rsidR="005D314E" w:rsidRPr="00576C3D" w:rsidRDefault="005D314E" w:rsidP="00576C3D">
      <w:pPr>
        <w:pStyle w:val="l-ledd"/>
      </w:pPr>
      <w:r w:rsidRPr="00576C3D">
        <w:t xml:space="preserve">Ansvarlig myndighet kan undersøke, ta prøver av og kontrollere varer som er, eller kan være, regulert i eller i </w:t>
      </w:r>
      <w:proofErr w:type="gramStart"/>
      <w:r w:rsidRPr="00576C3D">
        <w:t>medhold av</w:t>
      </w:r>
      <w:proofErr w:type="gramEnd"/>
      <w:r w:rsidRPr="00576C3D">
        <w:t xml:space="preserve"> denne loven.</w:t>
      </w:r>
    </w:p>
    <w:p w14:paraId="2FEE91B7" w14:textId="77777777" w:rsidR="005D314E" w:rsidRPr="00576C3D" w:rsidRDefault="005D314E" w:rsidP="00576C3D">
      <w:pPr>
        <w:pStyle w:val="l-paragraf"/>
        <w:rPr>
          <w:rStyle w:val="regular"/>
        </w:rPr>
      </w:pPr>
      <w:r w:rsidRPr="00576C3D">
        <w:rPr>
          <w:rStyle w:val="regular"/>
        </w:rPr>
        <w:t xml:space="preserve">§ 5 </w:t>
      </w:r>
      <w:r w:rsidRPr="00576C3D">
        <w:t>Opplysningsplikt og politiattest</w:t>
      </w:r>
    </w:p>
    <w:p w14:paraId="6E58E5C1" w14:textId="77777777" w:rsidR="005D314E" w:rsidRPr="00576C3D" w:rsidRDefault="005D314E" w:rsidP="00576C3D">
      <w:pPr>
        <w:pStyle w:val="l-ledd"/>
      </w:pPr>
      <w:r w:rsidRPr="00576C3D">
        <w:t>Når det er nødvendig for å kontrollere om vilkårene i CBAM-forordningen artikkel 17 nr. 2 er overholdt, skal ansvarlig myndighet pålegge søkeren eller den autoriserte CBAM-</w:t>
      </w:r>
      <w:proofErr w:type="spellStart"/>
      <w:r w:rsidRPr="00576C3D">
        <w:t>deklaranten</w:t>
      </w:r>
      <w:proofErr w:type="spellEnd"/>
      <w:r w:rsidRPr="00576C3D">
        <w:t xml:space="preserve"> å gi opplysninger og å fremlegge avgrenset uttømmende politiattest etter politiregisterlova § 41 nr. 1. Kongen kan gi forskrift om hvilke straffbare forhold som skal avmerkes på politiattesten og om behandlingen av denne.</w:t>
      </w:r>
    </w:p>
    <w:p w14:paraId="637319DE" w14:textId="77777777" w:rsidR="005D314E" w:rsidRPr="00576C3D" w:rsidRDefault="005D314E" w:rsidP="00576C3D">
      <w:pPr>
        <w:pStyle w:val="l-ledd"/>
      </w:pPr>
      <w:r w:rsidRPr="00576C3D">
        <w:t>Ansvarlig myndighet kan pålegge skattemyndighetene og tollmyndighetene å gi opplysninger når dette er nødvendig for å vurdere om vilkårene i CBAM-forordningen artikkel 17 nr. 2 bokstav a er overholdt. Ansvarlig myndighet kan gi tilsvarende pålegg til innkrevingsmyndigheten når dette er nødvendig for å vurdere om vilkårene i artikkel 17 nr. 2 bokstav b er overholdt.</w:t>
      </w:r>
    </w:p>
    <w:p w14:paraId="51B4441F" w14:textId="77777777" w:rsidR="005D314E" w:rsidRPr="00576C3D" w:rsidRDefault="005D314E" w:rsidP="00576C3D">
      <w:pPr>
        <w:pStyle w:val="l-ledd"/>
      </w:pPr>
      <w:r w:rsidRPr="00576C3D">
        <w:t>Ansvarlig myndighet kan pålegge importører av CBAM-varer, deres representanter og deres kontraktsparter og konstraktsmedhjelpere å gi opplysninger som er nødvendige for å utføre oppgaver som følger av CBAM-forordningen artikkel 19 nr. 2 og 5 og artikkel 25a.</w:t>
      </w:r>
    </w:p>
    <w:p w14:paraId="0BA63760" w14:textId="77777777" w:rsidR="005D314E" w:rsidRPr="00576C3D" w:rsidRDefault="005D314E" w:rsidP="00576C3D">
      <w:pPr>
        <w:pStyle w:val="l-ledd"/>
      </w:pPr>
      <w:r w:rsidRPr="00576C3D">
        <w:t>Opplysninger som gis etter denne bestemmelsen, skal gis uten hinder av lovbestemt taushetsplikt. Ansvarlig myndighet kan bestemme i hvilken form opplysningene skal gis.</w:t>
      </w:r>
    </w:p>
    <w:p w14:paraId="02A716C0" w14:textId="77777777" w:rsidR="005D314E" w:rsidRPr="00576C3D" w:rsidRDefault="005D314E" w:rsidP="00576C3D">
      <w:pPr>
        <w:pStyle w:val="l-paragraf"/>
        <w:rPr>
          <w:rStyle w:val="regular"/>
        </w:rPr>
      </w:pPr>
      <w:r w:rsidRPr="00576C3D">
        <w:rPr>
          <w:rStyle w:val="regular"/>
        </w:rPr>
        <w:t xml:space="preserve">§ 6 </w:t>
      </w:r>
      <w:r w:rsidRPr="00576C3D">
        <w:t>Tvangsmulkt</w:t>
      </w:r>
    </w:p>
    <w:p w14:paraId="5F20720E" w14:textId="77777777" w:rsidR="005D314E" w:rsidRPr="00576C3D" w:rsidRDefault="005D314E" w:rsidP="00576C3D">
      <w:pPr>
        <w:pStyle w:val="l-ledd"/>
      </w:pPr>
      <w:r w:rsidRPr="00576C3D">
        <w:t>Ansvarlig myndighet kan fatte enkeltvedtak om tvangsmulkt til staten for å sikre at ansvarlige aktører gjennomfører og oppfyller sine plikter etter loven eller i forskrift eller enkeltvedtak gitt med hjemmel i loven.</w:t>
      </w:r>
    </w:p>
    <w:p w14:paraId="7AC466AA" w14:textId="77777777" w:rsidR="005D314E" w:rsidRPr="00576C3D" w:rsidRDefault="005D314E" w:rsidP="00576C3D">
      <w:pPr>
        <w:pStyle w:val="l-ledd"/>
      </w:pPr>
      <w:r w:rsidRPr="00576C3D">
        <w:t>Tvangsmulkt kan fastsettes når det er oppdaget overtredelse av loven, forskrift eller enkeltvedtak gitt med hjemmel i loven.</w:t>
      </w:r>
    </w:p>
    <w:p w14:paraId="5BA387F5" w14:textId="77777777" w:rsidR="005D314E" w:rsidRPr="00576C3D" w:rsidRDefault="005D314E" w:rsidP="00576C3D">
      <w:pPr>
        <w:pStyle w:val="l-ledd"/>
      </w:pPr>
      <w:r w:rsidRPr="00576C3D">
        <w:t>Tvangsmulkt ilegges den ansvarlige for overtredelsen. Er overtredelsen skjedd på vegne av et foretak, skal tvangsmulkten vanligvis ilegges foretaket som sådan.</w:t>
      </w:r>
    </w:p>
    <w:p w14:paraId="2BA3BA1E" w14:textId="77777777" w:rsidR="005D314E" w:rsidRPr="00576C3D" w:rsidRDefault="005D314E" w:rsidP="00576C3D">
      <w:pPr>
        <w:pStyle w:val="l-paragraf"/>
        <w:rPr>
          <w:rStyle w:val="regular"/>
        </w:rPr>
      </w:pPr>
      <w:r w:rsidRPr="00576C3D">
        <w:rPr>
          <w:rStyle w:val="regular"/>
        </w:rPr>
        <w:t xml:space="preserve">§ 7 </w:t>
      </w:r>
      <w:r w:rsidRPr="00576C3D">
        <w:t>Overtredelsesgebyr</w:t>
      </w:r>
    </w:p>
    <w:p w14:paraId="4327CAE5" w14:textId="77777777" w:rsidR="005D314E" w:rsidRPr="00576C3D" w:rsidRDefault="005D314E" w:rsidP="00576C3D">
      <w:pPr>
        <w:pStyle w:val="l-ledd"/>
      </w:pPr>
      <w:r w:rsidRPr="00576C3D">
        <w:t>Ansvarlig myndighet skal uten hensyn til skyld, ilegge den ansvarlige, herunder foretak, overtredelsesgebyr etter reglene i CBAM-forordningen artikkel 26, jf. § 2 første ledd.</w:t>
      </w:r>
    </w:p>
    <w:p w14:paraId="689F7D4B" w14:textId="77777777" w:rsidR="005D314E" w:rsidRPr="00576C3D" w:rsidRDefault="005D314E" w:rsidP="00576C3D">
      <w:pPr>
        <w:pStyle w:val="l-ledd"/>
      </w:pPr>
      <w:r w:rsidRPr="00576C3D">
        <w:t>Adgangen til å ilegge overtredelsesgebyr etter CBAM-forordningen artikkel 26 nr. 1 foreldes fem år etter at overtredelsen har opphørt. Adgangen til å ilegge overtredelsesgebyr etter CBAM-forordningen artikkel 26 nr. 2 og nr. 2a foreldes to år etter at overtredelsen har opphørt. Fristen avbrytes dersom ansvarlig myndighet gir forhåndsvarsel eller fatter enkeltvedtak om overtredelsesgebyr.</w:t>
      </w:r>
    </w:p>
    <w:p w14:paraId="499698BC" w14:textId="77777777" w:rsidR="005D314E" w:rsidRPr="00576C3D" w:rsidRDefault="005D314E" w:rsidP="00576C3D">
      <w:pPr>
        <w:pStyle w:val="l-paragraf"/>
        <w:rPr>
          <w:rStyle w:val="regular"/>
        </w:rPr>
      </w:pPr>
      <w:r w:rsidRPr="00576C3D">
        <w:rPr>
          <w:rStyle w:val="regular"/>
        </w:rPr>
        <w:t xml:space="preserve">§ 8 </w:t>
      </w:r>
      <w:r w:rsidRPr="00576C3D">
        <w:t>Innkreving</w:t>
      </w:r>
    </w:p>
    <w:p w14:paraId="316E531E" w14:textId="77777777" w:rsidR="005D314E" w:rsidRPr="00576C3D" w:rsidRDefault="005D314E" w:rsidP="00576C3D">
      <w:pPr>
        <w:pStyle w:val="l-ledd"/>
      </w:pPr>
      <w:r w:rsidRPr="00576C3D">
        <w:t xml:space="preserve">Krav fastsatt med hjemmel i §§ 6 og 7, skal innkreves av innkrevingsmyndigheten. Det løper forsinkelsesrenter fra kravenes forfall og frem til betaling skjer. Renter skal beregnes med satsen fastsatt i </w:t>
      </w:r>
      <w:proofErr w:type="gramStart"/>
      <w:r w:rsidRPr="00576C3D">
        <w:t>medhold av</w:t>
      </w:r>
      <w:proofErr w:type="gramEnd"/>
      <w:r w:rsidRPr="00576C3D">
        <w:t xml:space="preserve"> lov 17. desember 1976 nr. 100 om renter ved forsinket betaling m.m. § 3 første ledd første punktum.</w:t>
      </w:r>
    </w:p>
    <w:p w14:paraId="7077722C" w14:textId="77777777" w:rsidR="005D314E" w:rsidRPr="00576C3D" w:rsidRDefault="005D314E" w:rsidP="00576C3D">
      <w:pPr>
        <w:pStyle w:val="l-paragraf"/>
      </w:pPr>
      <w:r w:rsidRPr="00576C3D">
        <w:rPr>
          <w:rStyle w:val="regular"/>
        </w:rPr>
        <w:t xml:space="preserve">§ 9 </w:t>
      </w:r>
      <w:r w:rsidRPr="00576C3D">
        <w:t>Ikrafttredelse</w:t>
      </w:r>
    </w:p>
    <w:p w14:paraId="3163FEBE" w14:textId="77777777" w:rsidR="005D314E" w:rsidRPr="00576C3D" w:rsidRDefault="005D314E" w:rsidP="00576C3D">
      <w:pPr>
        <w:pStyle w:val="l-ledd"/>
      </w:pPr>
      <w:r w:rsidRPr="00576C3D">
        <w:t>Loven gjelder fra den tiden Kongen bestemmer.</w:t>
      </w:r>
    </w:p>
    <w:p w14:paraId="34238D76" w14:textId="4BE17624" w:rsidR="005D314E" w:rsidRPr="00576C3D" w:rsidRDefault="005D314E" w:rsidP="00576C3D">
      <w:pPr>
        <w:pStyle w:val="a-vedtak-tit"/>
      </w:pPr>
      <w:r w:rsidRPr="00576C3D">
        <w:t>B</w:t>
      </w:r>
      <w:r w:rsidR="003254A1">
        <w:t xml:space="preserve"> </w:t>
      </w:r>
      <w:r w:rsidRPr="00576C3D">
        <w:t>Forslag</w:t>
      </w:r>
    </w:p>
    <w:p w14:paraId="52F6C71A" w14:textId="11151FCC" w:rsidR="005D314E" w:rsidRPr="00576C3D" w:rsidRDefault="005D314E" w:rsidP="00576C3D">
      <w:pPr>
        <w:pStyle w:val="a-vedtak-tit"/>
      </w:pPr>
      <w:r w:rsidRPr="00576C3D">
        <w:t>til vedtak om samtykke til deltakelse i beslutninger i EØS-komiteen om innlemmelse i EØS-avtalen av forordning (EU) 2023/956 (CBAM-forordningen) og forordning (EU) 2025/2083 (endringer i CBAM-forordningen), og om tilgang til og finansiering av IT-tekniske systemer i CBAM</w:t>
      </w:r>
    </w:p>
    <w:p w14:paraId="6041051D" w14:textId="77777777" w:rsidR="005D314E" w:rsidRPr="00576C3D" w:rsidRDefault="005D314E" w:rsidP="00576C3D">
      <w:pPr>
        <w:pStyle w:val="a-vedtak-del"/>
      </w:pPr>
      <w:r w:rsidRPr="00576C3D">
        <w:t>I</w:t>
      </w:r>
    </w:p>
    <w:p w14:paraId="396E0D1E" w14:textId="77777777" w:rsidR="005D314E" w:rsidRPr="00576C3D" w:rsidRDefault="005D314E" w:rsidP="00576C3D">
      <w:r w:rsidRPr="00576C3D">
        <w:t>Stortinget samtykker til deltakelse i beslutninger i EØS-komiteen om innlemmelse i EØS-avtalen av forordning (EU) 2023/956 (CBAM-forordningen) og forordning (EU) 2025/2083 (endringer i CBAM-forordningen), og om tilgang til og finansiering av IT-tekniske systemer i CBAM.</w:t>
      </w:r>
    </w:p>
    <w:p w14:paraId="4DF9FABC" w14:textId="66C97F55" w:rsidR="005D314E" w:rsidRPr="002C40BD" w:rsidRDefault="003254A1" w:rsidP="002C40BD">
      <w:pPr>
        <w:pStyle w:val="Overskrift1"/>
        <w:numPr>
          <w:ilvl w:val="0"/>
          <w:numId w:val="176"/>
        </w:numPr>
        <w:rPr>
          <w:color w:val="EE0000"/>
        </w:rPr>
      </w:pPr>
      <w:r w:rsidRPr="002C40BD">
        <w:rPr>
          <w:color w:val="EE0000"/>
        </w:rPr>
        <w:t>[</w:t>
      </w:r>
      <w:proofErr w:type="spellStart"/>
      <w:r w:rsidRPr="002C40BD">
        <w:rPr>
          <w:color w:val="EE0000"/>
        </w:rPr>
        <w:t>Vedleggsnr</w:t>
      </w:r>
      <w:proofErr w:type="spellEnd"/>
      <w:r w:rsidRPr="002C40BD">
        <w:rPr>
          <w:color w:val="EE0000"/>
        </w:rPr>
        <w:t>, resett]</w:t>
      </w:r>
    </w:p>
    <w:p w14:paraId="0A14D90A" w14:textId="7BDD32BA" w:rsidR="005D314E" w:rsidRPr="00576C3D" w:rsidRDefault="005D314E" w:rsidP="00576C3D">
      <w:pPr>
        <w:pStyle w:val="vedlegg-nr"/>
      </w:pPr>
    </w:p>
    <w:p w14:paraId="5CD706D5" w14:textId="6809D35C" w:rsidR="005D314E" w:rsidRPr="00576C3D" w:rsidRDefault="005D314E" w:rsidP="00576C3D">
      <w:pPr>
        <w:pStyle w:val="vedlegg-tit"/>
      </w:pPr>
      <w:r w:rsidRPr="00576C3D">
        <w:t>Europaparlaments- og rådsforordning (EU) 2023/956 av 10. mai 2023 om opprettelse av en karbongrensejusteringsmekanisme</w:t>
      </w:r>
    </w:p>
    <w:p w14:paraId="402E0E0B" w14:textId="77777777" w:rsidR="005D314E" w:rsidRPr="00576C3D" w:rsidRDefault="005D314E" w:rsidP="00576C3D">
      <w:r w:rsidRPr="00576C3D">
        <w:t>EUROPAPARLAMENTET OG RÅDET FOR DEN EUROPEISKE UNION HAR</w:t>
      </w:r>
    </w:p>
    <w:p w14:paraId="41DD8EB8" w14:textId="77777777" w:rsidR="005D314E" w:rsidRPr="00576C3D" w:rsidRDefault="005D314E" w:rsidP="00576C3D">
      <w:r w:rsidRPr="00576C3D">
        <w:t>under henvisning til traktaten om Den europeiske unions virkemåte, særlig artikkel 192 nr. 1,</w:t>
      </w:r>
    </w:p>
    <w:p w14:paraId="6BB8F0B3" w14:textId="77777777" w:rsidR="005D314E" w:rsidRPr="00576C3D" w:rsidRDefault="005D314E" w:rsidP="00576C3D">
      <w:r w:rsidRPr="00576C3D">
        <w:t>under henvisning til forslag fra Europakommisjonen,</w:t>
      </w:r>
    </w:p>
    <w:p w14:paraId="30F6E449" w14:textId="77777777" w:rsidR="005D314E" w:rsidRPr="00576C3D" w:rsidRDefault="005D314E" w:rsidP="00576C3D">
      <w:r w:rsidRPr="00576C3D">
        <w:t xml:space="preserve">etter oversending av utkast til </w:t>
      </w:r>
      <w:proofErr w:type="spellStart"/>
      <w:r w:rsidRPr="00576C3D">
        <w:t>regelverksakt</w:t>
      </w:r>
      <w:proofErr w:type="spellEnd"/>
      <w:r w:rsidRPr="00576C3D">
        <w:t xml:space="preserve"> til de nasjonale parlamentene,</w:t>
      </w:r>
    </w:p>
    <w:p w14:paraId="0AA095AC" w14:textId="77777777" w:rsidR="005D314E" w:rsidRPr="00576C3D" w:rsidRDefault="005D314E" w:rsidP="00576C3D">
      <w:r w:rsidRPr="00576C3D">
        <w:t>under henvisning til uttalelse fra Den europeiske økonomiske og sosiale komité</w:t>
      </w:r>
      <w:r w:rsidRPr="00576C3D">
        <w:rPr>
          <w:rStyle w:val="Fotnotereferanse"/>
        </w:rPr>
        <w:footnoteReference w:id="1"/>
      </w:r>
      <w:r w:rsidRPr="00576C3D">
        <w:t>,</w:t>
      </w:r>
    </w:p>
    <w:p w14:paraId="4D9A9018" w14:textId="77777777" w:rsidR="005D314E" w:rsidRPr="00576C3D" w:rsidRDefault="005D314E" w:rsidP="00576C3D">
      <w:r w:rsidRPr="00576C3D">
        <w:t>under henvisning til uttalelse fra Regionkomiteen</w:t>
      </w:r>
      <w:r w:rsidRPr="00576C3D">
        <w:rPr>
          <w:rStyle w:val="Fotnotereferanse"/>
        </w:rPr>
        <w:footnoteReference w:id="2"/>
      </w:r>
      <w:r w:rsidRPr="00576C3D">
        <w:t>,</w:t>
      </w:r>
    </w:p>
    <w:p w14:paraId="3D96D3CB" w14:textId="77777777" w:rsidR="005D314E" w:rsidRPr="00576C3D" w:rsidRDefault="005D314E" w:rsidP="00576C3D">
      <w:r w:rsidRPr="00576C3D">
        <w:t>etter den ordinære regelverksprosedyren</w:t>
      </w:r>
      <w:r w:rsidRPr="00576C3D">
        <w:rPr>
          <w:rStyle w:val="Fotnotereferanse"/>
        </w:rPr>
        <w:footnoteReference w:id="3"/>
      </w:r>
      <w:r w:rsidRPr="00576C3D">
        <w:t xml:space="preserve"> og</w:t>
      </w:r>
    </w:p>
    <w:p w14:paraId="5E47DBE0" w14:textId="77777777" w:rsidR="005D314E" w:rsidRPr="00576C3D" w:rsidRDefault="005D314E" w:rsidP="00576C3D">
      <w:r w:rsidRPr="00576C3D">
        <w:t>ut fra følgende betraktninger:</w:t>
      </w:r>
    </w:p>
    <w:p w14:paraId="05CB0502" w14:textId="77777777" w:rsidR="005D314E" w:rsidRPr="00576C3D" w:rsidRDefault="005D314E" w:rsidP="00576C3D">
      <w:pPr>
        <w:pStyle w:val="friliste"/>
      </w:pPr>
      <w:r w:rsidRPr="00576C3D">
        <w:t>1)</w:t>
      </w:r>
      <w:r w:rsidRPr="00576C3D">
        <w:tab/>
        <w:t xml:space="preserve">I sin melding av 11. desember 2019 med tittelen «The European Green </w:t>
      </w:r>
      <w:proofErr w:type="spellStart"/>
      <w:r w:rsidRPr="00576C3D">
        <w:t>Deal</w:t>
      </w:r>
      <w:proofErr w:type="spellEnd"/>
      <w:r w:rsidRPr="00576C3D">
        <w:t>» («EUs grønne giv») fastsatte Kommisjonen en ny vekststrategi. Denne strategien har som mål å omstille Unionen til et rettferdig og framgangsrikt samfunn med en moderne, ressurseffektiv og konkurransedyktig økonomi der det senest i 2050 ikke lenger forekommer nettoutslipp (utslipp etter fradrag av opptak) av klimagasser («klimagassutslipp»), og der den økonomiske veksten er frakoplet ressursbruken. EUs grønne giv har som mål å verne, bevare og øke Unionens naturkapital og å verne borgernes helse og velferd mot miljørelaterte risikoer og virkninger. Samtidig må denne omstillingen være rettferdig og inkluderende, der ingen blir stående utenfor. I sin melding av 12. mai 2021 med tittelen «</w:t>
      </w:r>
      <w:proofErr w:type="spellStart"/>
      <w:r w:rsidRPr="00576C3D">
        <w:t>Pathway</w:t>
      </w:r>
      <w:proofErr w:type="spellEnd"/>
      <w:r w:rsidRPr="00576C3D">
        <w:t xml:space="preserve"> to a </w:t>
      </w:r>
      <w:proofErr w:type="spellStart"/>
      <w:r w:rsidRPr="00576C3D">
        <w:t>Healthy</w:t>
      </w:r>
      <w:proofErr w:type="spellEnd"/>
      <w:r w:rsidRPr="00576C3D">
        <w:t xml:space="preserve"> Planet for All – EU Action Plan: </w:t>
      </w:r>
      <w:proofErr w:type="spellStart"/>
      <w:r w:rsidRPr="00576C3D">
        <w:t>Towards</w:t>
      </w:r>
      <w:proofErr w:type="spellEnd"/>
      <w:r w:rsidRPr="00576C3D">
        <w:t xml:space="preserve"> Zero </w:t>
      </w:r>
      <w:proofErr w:type="spellStart"/>
      <w:r w:rsidRPr="00576C3D">
        <w:t>Pollution</w:t>
      </w:r>
      <w:proofErr w:type="spellEnd"/>
      <w:r w:rsidRPr="00576C3D">
        <w:t xml:space="preserve"> for Air, Water and </w:t>
      </w:r>
      <w:proofErr w:type="spellStart"/>
      <w:r w:rsidRPr="00576C3D">
        <w:t>Soil</w:t>
      </w:r>
      <w:proofErr w:type="spellEnd"/>
      <w:r w:rsidRPr="00576C3D">
        <w:t>» bebudet Kommisjonen også relevante ordninger og insentiver for å bedre gjennomføre prinsippet om at forurenseren betaler fastsatt i artikkel 191 nr. 2 i traktaten om Den europeiske unions virkemåte (TEUV) og dermed fullføre utfasingen av «gratis forurensning» med sikte på å maksimere synergivirkningene mellom avkarbonisering og ambisjonen om nullforurensning.</w:t>
      </w:r>
    </w:p>
    <w:p w14:paraId="588BCF07" w14:textId="77777777" w:rsidR="005D314E" w:rsidRPr="00576C3D" w:rsidRDefault="005D314E" w:rsidP="00576C3D">
      <w:pPr>
        <w:pStyle w:val="friliste"/>
      </w:pPr>
      <w:r w:rsidRPr="00576C3D">
        <w:t>2)</w:t>
      </w:r>
      <w:r w:rsidRPr="00576C3D">
        <w:tab/>
        <w:t>Parisavtalen</w:t>
      </w:r>
      <w:r w:rsidRPr="00576C3D">
        <w:rPr>
          <w:rStyle w:val="Fotnotereferanse"/>
        </w:rPr>
        <w:footnoteReference w:id="4"/>
      </w:r>
      <w:r w:rsidRPr="00576C3D">
        <w:t>, som ble vedtatt 12. desember 2015 i henhold til De forente nasjoners rammekonvensjon om klimaendring (FNs klimakonvensjon) (heretter kalt «Parisavtalen»), trådte i kraft 4. november 2016. Partene i Parisavtalen er blitt enige om å holde økningen i den globale gjennomsnittstemperaturen på godt under 2 °C sammenlignet med førindustrielt nivå og å tilstrebe å begrense temperaturøkningen til 1,5 °C over førindustrielt nivå. I klimaavtalen fra Glasgow 13. november 2021 konstaterte partskonferansen under FNs klimakonvensjon, som tjener som møte for partene i Parisavtalen, også at en begrensning av økningen av den globale gjennomsnittstemperaturen til 1,5 °C over førindustrielt nivå vil redusere risikoene og virkningene av klimaendringene betydelig, og partene forpliktet seg til å styrke målene for 2030 innen utgangen av 2022 for å tette ambisjonsgapet.</w:t>
      </w:r>
    </w:p>
    <w:p w14:paraId="06922D51" w14:textId="77777777" w:rsidR="005D314E" w:rsidRPr="00576C3D" w:rsidRDefault="005D314E" w:rsidP="00576C3D">
      <w:pPr>
        <w:pStyle w:val="friliste"/>
      </w:pPr>
      <w:r w:rsidRPr="00576C3D">
        <w:t>3)</w:t>
      </w:r>
      <w:r w:rsidRPr="00576C3D">
        <w:tab/>
        <w:t>Å håndtere klimautfordringer og andre miljørelaterte utfordringer og oppnå målene i Parisavtalen er sentrale elementer i EUs grønne giv. Verdien av EUs grønne giv er blitt enda større i lys av de svært alvorlige virkningene som covid-19-pandemien har hatt på EU-borgernes helse og økonomiske velferd.</w:t>
      </w:r>
    </w:p>
    <w:p w14:paraId="30E133E0" w14:textId="77777777" w:rsidR="005D314E" w:rsidRPr="00576C3D" w:rsidRDefault="005D314E" w:rsidP="00576C3D">
      <w:pPr>
        <w:pStyle w:val="friliste"/>
      </w:pPr>
      <w:r w:rsidRPr="00576C3D">
        <w:t>4)</w:t>
      </w:r>
      <w:r w:rsidRPr="00576C3D">
        <w:tab/>
        <w:t>Unionen forpliktet seg til innen 2030 å redusere Unionens nettoutslipp av klimagasser for hele økonomien med minst 55 % sammenlignet med nivåene i 1990, som fastsatt i framlegget for FNs klimakonvensjon på vegne av Den europeiske union og dens medlemsstater om oppdateringen av det nasjonalt fastsatte bidraget fra Den europeiske union og dens medlemsstater.</w:t>
      </w:r>
    </w:p>
    <w:p w14:paraId="4A8FDBBC" w14:textId="77777777" w:rsidR="005D314E" w:rsidRPr="00576C3D" w:rsidRDefault="005D314E" w:rsidP="00576C3D">
      <w:pPr>
        <w:pStyle w:val="friliste"/>
      </w:pPr>
      <w:r w:rsidRPr="00576C3D">
        <w:t>5)</w:t>
      </w:r>
      <w:r w:rsidRPr="00576C3D">
        <w:tab/>
        <w:t>Gjennom europaparlaments- og rådsforordning (EU) 2021/1119</w:t>
      </w:r>
      <w:r w:rsidRPr="00576C3D">
        <w:rPr>
          <w:rStyle w:val="Fotnotereferanse"/>
        </w:rPr>
        <w:footnoteReference w:id="5"/>
      </w:r>
      <w:r w:rsidRPr="00576C3D">
        <w:t xml:space="preserve"> har Unionen nedfelt i regelverket målet om klimanøytralitet i hele økonomien senest i 2050. Den nevnte forordningen fastsetter også et bindende EU-klimamål om innen 2030 å redusere nettoklimagassutslippene i Unionen (utslipp etter fratrekk av opptak) med minst 55 % sammenlignet med nivået i 1990.</w:t>
      </w:r>
    </w:p>
    <w:p w14:paraId="0BEDA074" w14:textId="77777777" w:rsidR="005D314E" w:rsidRPr="00576C3D" w:rsidRDefault="005D314E" w:rsidP="00576C3D">
      <w:pPr>
        <w:pStyle w:val="friliste"/>
      </w:pPr>
      <w:r w:rsidRPr="00576C3D">
        <w:t>6)</w:t>
      </w:r>
      <w:r w:rsidRPr="00576C3D">
        <w:tab/>
        <w:t xml:space="preserve">Spesialrapporten fra FNs klimapanel (IPCC) fra 2018 om virkningene av globale temperaturøkninger på 1,5 °C over førindustrielt nivå og tilknyttede forløp for globale klimagassutslipp gir et sterkt vitenskapelig grunnlag for å </w:t>
      </w:r>
      <w:proofErr w:type="gramStart"/>
      <w:r w:rsidRPr="00576C3D">
        <w:t>takle</w:t>
      </w:r>
      <w:proofErr w:type="gramEnd"/>
      <w:r w:rsidRPr="00576C3D">
        <w:t xml:space="preserve"> klimaendringene og illustrerer behovet for å trappe opp klimatiltakene. Rapporten bekrefter at for å redusere sannsynligheten for ekstreme værforhold må klimagassutslippene reduseres raskt, og at klimaendringene må begrenses til en global temperaturøkning på 1,5 °C. Hvis det ikke raskt treffes avbøtende tiltak som vil kunne begrense den globale oppvarmingen til 1,5 °C over førindustrielt nivå, må det dessuten iverksettes mye dyrere og mer komplekse tilpasningstiltak for å unngå virkningene av kraftigere global oppvarming. Bidraget fra arbeidsgruppe I til IPCCs sjette vurderingsrapport med tittelen «</w:t>
      </w:r>
      <w:proofErr w:type="spellStart"/>
      <w:r w:rsidRPr="00576C3D">
        <w:t>Climate</w:t>
      </w:r>
      <w:proofErr w:type="spellEnd"/>
      <w:r w:rsidRPr="00576C3D">
        <w:t xml:space="preserve"> </w:t>
      </w:r>
      <w:proofErr w:type="spellStart"/>
      <w:r w:rsidRPr="00576C3D">
        <w:t>Change</w:t>
      </w:r>
      <w:proofErr w:type="spellEnd"/>
      <w:r w:rsidRPr="00576C3D">
        <w:t xml:space="preserve"> 2021: The </w:t>
      </w:r>
      <w:proofErr w:type="spellStart"/>
      <w:r w:rsidRPr="00576C3D">
        <w:t>Physical</w:t>
      </w:r>
      <w:proofErr w:type="spellEnd"/>
      <w:r w:rsidRPr="00576C3D">
        <w:t xml:space="preserve"> Science Basis» minner om at klimaendringer allerede påvirker alle regioner på jorden og beregner at klimaendringene vil tilta i alle regioner i de kommende tiårene. Rapporten understreker at med mindre det skjer umiddelbare, raske og store reduksjoner i klimagassutslipp, vil det være umulig å begrense oppvarmingen til nær 1,5 °C eller til og med 2 °C.</w:t>
      </w:r>
    </w:p>
    <w:p w14:paraId="36313DDC" w14:textId="77777777" w:rsidR="005D314E" w:rsidRPr="00576C3D" w:rsidRDefault="005D314E" w:rsidP="00576C3D">
      <w:pPr>
        <w:pStyle w:val="friliste"/>
      </w:pPr>
      <w:r w:rsidRPr="00576C3D">
        <w:t>7)</w:t>
      </w:r>
      <w:r w:rsidRPr="00576C3D">
        <w:tab/>
        <w:t>Unionen har ført en ambisiøs klimapolitikk og innført et regelverk for å nå sitt mål om å redusere klimagassutslippene i 2030. Regelverket som gjennomfører dette målet, består blant annet av europaparlaments- og rådsdirektiv 2003/87/EF</w:t>
      </w:r>
      <w:r w:rsidRPr="00576C3D">
        <w:rPr>
          <w:rStyle w:val="Fotnotereferanse"/>
        </w:rPr>
        <w:footnoteReference w:id="6"/>
      </w:r>
      <w:r w:rsidRPr="00576C3D">
        <w:t>, som etablerer en ordning for handel med utslippskvoter for klimagasser i Unionen («EU ETS») og innebærer en harmonisert prising av utslipp av klimagasser på unionsnivå for energiintensive sektorer og delsektorer, europaparlaments- og rådsforordning (EU) 2018/842</w:t>
      </w:r>
      <w:r w:rsidRPr="00576C3D">
        <w:rPr>
          <w:rStyle w:val="Fotnotereferanse"/>
        </w:rPr>
        <w:footnoteReference w:id="7"/>
      </w:r>
      <w:r w:rsidRPr="00576C3D">
        <w:t>, som innfører nasjonale mål for reduksjon av utslipp av klimagasser innen 2030, og europaparlaments- og rådsforordning (EU) 2018/841</w:t>
      </w:r>
      <w:r w:rsidRPr="00576C3D">
        <w:rPr>
          <w:rStyle w:val="Fotnotereferanse"/>
        </w:rPr>
        <w:footnoteReference w:id="8"/>
      </w:r>
      <w:r w:rsidRPr="00576C3D">
        <w:t>, som pålegger medlemsstatene å kompensere utslipp av klimagasser fra arealbruk med fjerning av klimagasser fra atmosfæren.</w:t>
      </w:r>
    </w:p>
    <w:p w14:paraId="1A1EF1D9" w14:textId="77777777" w:rsidR="005D314E" w:rsidRPr="00576C3D" w:rsidRDefault="005D314E" w:rsidP="00576C3D">
      <w:pPr>
        <w:pStyle w:val="friliste"/>
      </w:pPr>
      <w:r w:rsidRPr="00576C3D">
        <w:t>8)</w:t>
      </w:r>
      <w:r w:rsidRPr="00576C3D">
        <w:tab/>
        <w:t>Selv om Unionen har redusert sine innenlandske klimagassutslipp betydelig, har klimagassutslippene som følger av importen til Unionen økt, noe som undergraver Unionens innsats for å redusere sitt globale avtrykk fra klimagassutslipp. Unionen har et ansvar for å fortsette å spille en ledende rolle i den globale klimainnsatsen.</w:t>
      </w:r>
    </w:p>
    <w:p w14:paraId="3030CBE7" w14:textId="77777777" w:rsidR="005D314E" w:rsidRPr="00576C3D" w:rsidRDefault="005D314E" w:rsidP="00576C3D">
      <w:pPr>
        <w:pStyle w:val="friliste"/>
      </w:pPr>
      <w:r w:rsidRPr="00576C3D">
        <w:t>9)</w:t>
      </w:r>
      <w:r w:rsidRPr="00576C3D">
        <w:tab/>
        <w:t>Så lenge et betydelig antall av Unionens internasjonale partnere har politiske tilnærminger som ikke innebærer samme ambisjonsnivå for klimaet, er det en risiko for karbonlekkasje. Karbonlekkasje oppstår dersom virksomheter i visse industrisektorer eller delsektorer, på grunn av kostnader knyttet til klimapolitikken, overfører produksjon til andre land eller import fra disse landene erstatter tilsvarende produkter som er mindre intensive med hensyn til klimagassutslipp. Slike situasjoner kan føre til en økning i de totale globale utslippene og dermed true den reduksjonen av klimagassutslippene som er presserende nødvendig hvis verden skal holde økningen i den globale gjennomsnittstemperaturen på godt under 2 °C over førindustrielt nivå og tilstrebe å begrense temperaturøkningen til 1,5 °C over førindustrielt nivå. Etter hvert som Unionen øker sine klimaambisjoner, kan denne risikoen for karbonlekkasje undergrave effektiviteten av Unionens politikk for utslippsreduksjon.</w:t>
      </w:r>
    </w:p>
    <w:p w14:paraId="5B0B2DFD" w14:textId="77777777" w:rsidR="005D314E" w:rsidRPr="00576C3D" w:rsidRDefault="005D314E" w:rsidP="00576C3D">
      <w:pPr>
        <w:pStyle w:val="friliste"/>
      </w:pPr>
      <w:r w:rsidRPr="00576C3D">
        <w:t>10)</w:t>
      </w:r>
      <w:r w:rsidRPr="00576C3D">
        <w:tab/>
        <w:t>Initiativet til en karbongrensejusteringsmekanisme («CBAM») er en del av regelverkspakken «Klar for 55» («</w:t>
      </w:r>
      <w:proofErr w:type="spellStart"/>
      <w:r w:rsidRPr="00576C3D">
        <w:t>Fit</w:t>
      </w:r>
      <w:proofErr w:type="spellEnd"/>
      <w:r w:rsidRPr="00576C3D">
        <w:t xml:space="preserve"> for 55»). CBAM skal fungere som et vesentlig element i Unionens verktøykasse for å oppfylle målet om en klimanøytral union senest i 2050 i samsvar med Parisavtalen, ved å håndtere risikoen for karbonlekkasje som følge av Unionens økte klimaambisjoner. CBAM forventes også å bidra til å fremme avkarbonisering i tredjeland.</w:t>
      </w:r>
    </w:p>
    <w:p w14:paraId="56F03147" w14:textId="77777777" w:rsidR="005D314E" w:rsidRPr="00576C3D" w:rsidRDefault="005D314E" w:rsidP="00576C3D">
      <w:pPr>
        <w:pStyle w:val="friliste"/>
      </w:pPr>
      <w:r w:rsidRPr="00576C3D">
        <w:t>11)</w:t>
      </w:r>
      <w:r w:rsidRPr="00576C3D">
        <w:tab/>
        <w:t>Eksisterende mekanismer for å håndtere risikoen for karbonlekkasje i sektorer eller delsektorer der en slik risiko foreligger, består av vederlagsfri tildeling i en overgangsperiode av EU ETS-kvoter og økonomiske tiltak for å kompensere for indirekte utslippskostnader som skyldes kostnader for klimagassutslipp som føres videre til strømprisene. Disse mekanismene er fastsatt i henholdsvis artikkel 10a nr. 6 og artikkel 10b i direktiv 2003/87/EF. Vederlagsfri tildeling av EU ETS-kvoter til aktører som oppnår de beste resultatene, har vært et politisk virkemiddel for visse industrisektorer for å håndtere risikoen for karbonlekkasje. Sammenlignet med full auksjonering svekker imidlertid slik vederlagsfri tildeling prissignalet som systemet gir, og påvirker dermed insentivene til å investere i ytterligere reduksjon av klimagassutslippene.</w:t>
      </w:r>
    </w:p>
    <w:p w14:paraId="579F5FFC" w14:textId="77777777" w:rsidR="005D314E" w:rsidRPr="00576C3D" w:rsidRDefault="005D314E" w:rsidP="00576C3D">
      <w:pPr>
        <w:pStyle w:val="friliste"/>
      </w:pPr>
      <w:r w:rsidRPr="00576C3D">
        <w:t>12)</w:t>
      </w:r>
      <w:r w:rsidRPr="00576C3D">
        <w:tab/>
        <w:t xml:space="preserve">CBAM søker å erstatte disse eksisterende mekanismene ved å håndtere risikoen for karbonlekkasje på en annen måte, nemlig ved å sikre tilsvarende karbonprising for import og innenlandske produkter. For å sikre en gradvis overgang fra det nåværende systemet med vederlagsfrie kvoter til CBAM, bør CBAM innfases gradvis, mens vederlagsfrie kvoter i sektorer som omfattes av CBAM, utfases. Den kombinerte og midlertidige </w:t>
      </w:r>
      <w:proofErr w:type="gramStart"/>
      <w:r w:rsidRPr="00576C3D">
        <w:t>anvendelsen</w:t>
      </w:r>
      <w:proofErr w:type="gramEnd"/>
      <w:r w:rsidRPr="00576C3D">
        <w:t xml:space="preserve"> av EU ETS-kvoter som tildeles vederlagsfritt og av CBAM, bør ikke under noen omstendighet føre til en gunstigere behandling av unionsvarer sammenlignet med varer som importeres til Unionens tollområde.</w:t>
      </w:r>
    </w:p>
    <w:p w14:paraId="183235AB" w14:textId="77777777" w:rsidR="005D314E" w:rsidRPr="00576C3D" w:rsidRDefault="005D314E" w:rsidP="00576C3D">
      <w:pPr>
        <w:pStyle w:val="friliste"/>
      </w:pPr>
      <w:r w:rsidRPr="00576C3D">
        <w:t>13)</w:t>
      </w:r>
      <w:r w:rsidRPr="00576C3D">
        <w:tab/>
        <w:t xml:space="preserve">Karbonprisen stiger, og selskaper trenger langsiktig synlighet, forutsigbarhet og rettslig forutberegnelighet for å ta sine beslutninger om investeringer i avkarbonisering av industrielle prosesser. For å styrke det rettslige rammeverket for å bekjempe karbonlekkasje bør det derfor etableres en klar vei for gradvis å utvide </w:t>
      </w:r>
      <w:proofErr w:type="spellStart"/>
      <w:r w:rsidRPr="00576C3D">
        <w:t>CBAMs</w:t>
      </w:r>
      <w:proofErr w:type="spellEnd"/>
      <w:r w:rsidRPr="00576C3D">
        <w:t xml:space="preserve"> virkeområde videre til produkter, sektorer og delsektorer med risiko for karbonlekkasje.</w:t>
      </w:r>
    </w:p>
    <w:p w14:paraId="5941A2E8" w14:textId="77777777" w:rsidR="005D314E" w:rsidRPr="00576C3D" w:rsidRDefault="005D314E" w:rsidP="00576C3D">
      <w:pPr>
        <w:pStyle w:val="friliste"/>
      </w:pPr>
      <w:r w:rsidRPr="00576C3D">
        <w:t>14)</w:t>
      </w:r>
      <w:r w:rsidRPr="00576C3D">
        <w:tab/>
        <w:t xml:space="preserve">Selv om formålet med CBAM er å forebygge risikoen for karbonlekkasje, vil denne forordningen også oppmuntre produsenter fra tredjeland til å bruke teknologier som er mer effektive for å redusere klimagasser, slik at det </w:t>
      </w:r>
      <w:proofErr w:type="gramStart"/>
      <w:r w:rsidRPr="00576C3D">
        <w:t>genereres</w:t>
      </w:r>
      <w:proofErr w:type="gramEnd"/>
      <w:r w:rsidRPr="00576C3D">
        <w:t xml:space="preserve"> færre utslipp. Av den grunn forventes CBAM å effektivt støtte reduksjon av klimagassutslipp i tredjeland.</w:t>
      </w:r>
    </w:p>
    <w:p w14:paraId="46138A8D" w14:textId="77777777" w:rsidR="005D314E" w:rsidRPr="00576C3D" w:rsidRDefault="005D314E" w:rsidP="00576C3D">
      <w:pPr>
        <w:pStyle w:val="friliste"/>
      </w:pPr>
      <w:r w:rsidRPr="00576C3D">
        <w:t>15)</w:t>
      </w:r>
      <w:r w:rsidRPr="00576C3D">
        <w:tab/>
        <w:t>Som et instrument for å hindre karbonlekkasje og redusere utslippene av klimagasser bør CBAM sikre at importerte produkter er underlagt et regelverk som anvender karbonkostnader som tilsvarer dem som betales under EU ETS, slik at karbonprisen for importerte produkter tilsvarer prisen for innenlandske produkter. CBAM er et klimatiltak som skal støtte reduksjon av globale klimagassutslipp og forebygge risikoen for karbonlekkasje, samtidig som det sikres kompatibilitet med Verdens handelsorganisasjons regelverk.</w:t>
      </w:r>
    </w:p>
    <w:p w14:paraId="76B72F1E" w14:textId="77777777" w:rsidR="005D314E" w:rsidRPr="00576C3D" w:rsidRDefault="005D314E" w:rsidP="00576C3D">
      <w:pPr>
        <w:pStyle w:val="friliste"/>
      </w:pPr>
      <w:r w:rsidRPr="00576C3D">
        <w:t>16)</w:t>
      </w:r>
      <w:r w:rsidRPr="00576C3D">
        <w:tab/>
        <w:t xml:space="preserve">Denne forordningen bør få </w:t>
      </w:r>
      <w:proofErr w:type="gramStart"/>
      <w:r w:rsidRPr="00576C3D">
        <w:t>anvendelse</w:t>
      </w:r>
      <w:proofErr w:type="gramEnd"/>
      <w:r w:rsidRPr="00576C3D">
        <w:t xml:space="preserve"> på varer som importeres til Unionens tollområde fra tredjeland, med mindre produksjonen av disse allerede har vært omfattet av EU ETS gjennom dens </w:t>
      </w:r>
      <w:proofErr w:type="gramStart"/>
      <w:r w:rsidRPr="00576C3D">
        <w:t>anvendelse</w:t>
      </w:r>
      <w:proofErr w:type="gramEnd"/>
      <w:r w:rsidRPr="00576C3D">
        <w:t xml:space="preserve"> på tredjeland eller territorier eller av et karbonprisingssystem som er fullt ut knyttet til EU ETS.</w:t>
      </w:r>
    </w:p>
    <w:p w14:paraId="6C978150" w14:textId="77777777" w:rsidR="005D314E" w:rsidRPr="00576C3D" w:rsidRDefault="005D314E" w:rsidP="00576C3D">
      <w:pPr>
        <w:pStyle w:val="friliste"/>
      </w:pPr>
      <w:r w:rsidRPr="00576C3D">
        <w:t>17)</w:t>
      </w:r>
      <w:r w:rsidRPr="00576C3D">
        <w:tab/>
        <w:t>For å sikre at overgangen til en karbonnøytral økonomi kontinuerlig ledsages av økonomisk og sosial samhørighet, bør det ved framtidig revisjon av denne forordningen tas hensyn til de særlige kjennetegnene og begrensningene for regionene i de mest fjerntliggende regionene omhandlet i artikkel 349 i TEUV og for øystater som inngår i Unionens tollområde, uten å undergrave helheten og sammenhengen i Unionens rettsorden, herunder det indre marked og felles politikk.</w:t>
      </w:r>
    </w:p>
    <w:p w14:paraId="0B48DE2A" w14:textId="77777777" w:rsidR="005D314E" w:rsidRPr="00576C3D" w:rsidRDefault="005D314E" w:rsidP="00576C3D">
      <w:pPr>
        <w:pStyle w:val="friliste"/>
      </w:pPr>
      <w:r w:rsidRPr="00576C3D">
        <w:t>18)</w:t>
      </w:r>
      <w:r w:rsidRPr="00576C3D">
        <w:tab/>
        <w:t xml:space="preserve">For å forebygge risikoen for karbonlekkasje i offshoreanlegg bør denne forordningen få anvendelse på varer eller bearbeidede produkter fra disse varene som er et resultat av en prosedyre for innenlands bearbeiding, og som føres til en kunstig øy, en fast eller flytende innretning eller enhver annen struktur på kontinentalsokkelen eller i den eksklusive økonomiske sonen i en medlemsstat der denne kontinentalsokkelen eller den eksklusive økonomiske sonen er tilstøtende til Unionens tollområde. Kommisjonen bør gis gjennomføringsmyndighet til å fastsette nærmere vilkår for </w:t>
      </w:r>
      <w:proofErr w:type="gramStart"/>
      <w:r w:rsidRPr="00576C3D">
        <w:t>anvendelsen</w:t>
      </w:r>
      <w:proofErr w:type="gramEnd"/>
      <w:r w:rsidRPr="00576C3D">
        <w:t xml:space="preserve"> av CBAM på slike varer.</w:t>
      </w:r>
    </w:p>
    <w:p w14:paraId="057FADBB" w14:textId="77777777" w:rsidR="005D314E" w:rsidRPr="00576C3D" w:rsidRDefault="005D314E" w:rsidP="00576C3D">
      <w:pPr>
        <w:pStyle w:val="friliste"/>
      </w:pPr>
      <w:r w:rsidRPr="00576C3D">
        <w:t>19)</w:t>
      </w:r>
      <w:r w:rsidRPr="00576C3D">
        <w:tab/>
        <w:t>De klimagassutslippene som bør omfattes av CBAM, bør svare til de klimagassutslippene som omfattes av vedlegg I til direktiv 2003/87/EF, nemlig karbondioksid (CO</w:t>
      </w:r>
      <w:r w:rsidRPr="00576C3D">
        <w:rPr>
          <w:rStyle w:val="skrift-senket"/>
        </w:rPr>
        <w:t>2</w:t>
      </w:r>
      <w:r w:rsidRPr="00576C3D">
        <w:t xml:space="preserve">) og, der det er relevant, </w:t>
      </w:r>
      <w:proofErr w:type="spellStart"/>
      <w:r w:rsidRPr="00576C3D">
        <w:t>dinitrogenoksid</w:t>
      </w:r>
      <w:proofErr w:type="spellEnd"/>
      <w:r w:rsidRPr="00576C3D">
        <w:t xml:space="preserve"> og </w:t>
      </w:r>
      <w:proofErr w:type="spellStart"/>
      <w:r w:rsidRPr="00576C3D">
        <w:t>perfluorkarboner</w:t>
      </w:r>
      <w:proofErr w:type="spellEnd"/>
      <w:r w:rsidRPr="00576C3D">
        <w:t xml:space="preserve">. CBAM bør innledningsvis få </w:t>
      </w:r>
      <w:proofErr w:type="gramStart"/>
      <w:r w:rsidRPr="00576C3D">
        <w:t>anvendelse</w:t>
      </w:r>
      <w:proofErr w:type="gramEnd"/>
      <w:r w:rsidRPr="00576C3D">
        <w:t xml:space="preserve"> på direkte utslipp av disse klimagassene fra tidspunktet for produksjonen av varene til importen av disse varene til Unionens tollområde, og gjenspeile virkeområdet for EU ETS for å sikre samstemmighet. CBAM bør også gjelde for indirekte utslipp. Disse indirekte utslippene er utslippene fra produksjonen av elektrisitet som brukes til å produsere varene som omfattes av denne forordningen. Å inkludere indirekte utslipp vil ytterligere øke miljøeffektiviteten til CBAM og den tilknyttede ambisjonen om å bidra til å bekjempe klimaendringene. Indirekte utslipp bør imidlertid ikke tas i betraktning innledningsvis for de varene som det gjelder økonomiske tiltak for i Unionen for å kompensere for indirekte utslippskostnader som skyldes kostnader for klimagassutslipp som overføres til strømprisene. Disse varene er angitt i vedlegg II til denne forordningen. Framtidige revisjoner av EU ETS i direktiv 2003/87/EF, og særlig revisjoner av kompensasjonstiltakene for de indirekte kostnadene, bør gjenspeiles på en hensiktsmessig måte med hensyn til </w:t>
      </w:r>
      <w:proofErr w:type="spellStart"/>
      <w:r w:rsidRPr="00576C3D">
        <w:t>CBAMs</w:t>
      </w:r>
      <w:proofErr w:type="spellEnd"/>
      <w:r w:rsidRPr="00576C3D">
        <w:t xml:space="preserve"> virkeområde. I overgangsperioden bør det innhentes data med henblikk på å spesifisere metoden for beregning av indirekte utslipp. Denne metoden bør ta hensyn til den mengden elektrisitet som brukes til produksjon av varene som er oppført i vedlegg I til denne forordningen, samt opprinnelseslandet, produksjonskilden og utslippsfaktorene knyttet til denne elektrisiteten. Den spesifikke metoden bør spesifiseres nærmere for å oppnå den mest hensiktsmessige måten å forhindre karbonlekkasje på og sikre </w:t>
      </w:r>
      <w:proofErr w:type="spellStart"/>
      <w:r w:rsidRPr="00576C3D">
        <w:t>CBAMs</w:t>
      </w:r>
      <w:proofErr w:type="spellEnd"/>
      <w:r w:rsidRPr="00576C3D">
        <w:t xml:space="preserve"> miljøintegritet.</w:t>
      </w:r>
    </w:p>
    <w:p w14:paraId="0E388274" w14:textId="77777777" w:rsidR="005D314E" w:rsidRPr="00576C3D" w:rsidRDefault="005D314E" w:rsidP="00576C3D">
      <w:pPr>
        <w:pStyle w:val="friliste"/>
      </w:pPr>
      <w:r w:rsidRPr="00576C3D">
        <w:t>20)</w:t>
      </w:r>
      <w:r w:rsidRPr="00576C3D">
        <w:tab/>
        <w:t xml:space="preserve">EU ETS og CBAM har et felles mål om å </w:t>
      </w:r>
      <w:proofErr w:type="spellStart"/>
      <w:r w:rsidRPr="00576C3D">
        <w:t>prissette</w:t>
      </w:r>
      <w:proofErr w:type="spellEnd"/>
      <w:r w:rsidRPr="00576C3D">
        <w:t xml:space="preserve"> innbakte klimagassutslipp i de samme sektorene og for de samme varene gjennom bruk av spesifikke kvoter eller sertifikater. Begge systemene har regulatorisk karakter og er begrunnet i behovet for å redusere klimagassutslippene i Unionen i samsvar med det bindende miljømålet i unionsretten, fastsatt i forordning (EU) 2021/1119, om å redusere Unionens nettoutslipp av klimagasser med minst 55 % innen 2030 sammenlignet med nivået i 1990 og målet om å oppnå klimanøytralitet i hele økonomien senest i 2050.</w:t>
      </w:r>
    </w:p>
    <w:p w14:paraId="28F1535D" w14:textId="77777777" w:rsidR="005D314E" w:rsidRPr="00576C3D" w:rsidRDefault="005D314E" w:rsidP="00576C3D">
      <w:pPr>
        <w:pStyle w:val="friliste"/>
      </w:pPr>
      <w:r w:rsidRPr="00576C3D">
        <w:t>21)</w:t>
      </w:r>
      <w:r w:rsidRPr="00576C3D">
        <w:tab/>
        <w:t xml:space="preserve">Selv om EU ETS fastsetter det samlede antallet utslippskvoter («taket») for klimagassutslipp fra aktiviteter som faller inn under systemet, og tillater handel med kvoter («kvotehandelssystemet»), bør CBAM ikke fastsette kvantitative importbegrensninger, slik at handelsstrømmene ikke begrenses. Mens EU ETS får </w:t>
      </w:r>
      <w:proofErr w:type="gramStart"/>
      <w:r w:rsidRPr="00576C3D">
        <w:t>anvendelse</w:t>
      </w:r>
      <w:proofErr w:type="gramEnd"/>
      <w:r w:rsidRPr="00576C3D">
        <w:t xml:space="preserve"> på anlegg i Unionen, bør CBAM dessuten få </w:t>
      </w:r>
      <w:proofErr w:type="gramStart"/>
      <w:r w:rsidRPr="00576C3D">
        <w:t>anvendelse</w:t>
      </w:r>
      <w:proofErr w:type="gramEnd"/>
      <w:r w:rsidRPr="00576C3D">
        <w:t xml:space="preserve"> på visse varer som importeres til Unionens tollområde.</w:t>
      </w:r>
    </w:p>
    <w:p w14:paraId="4D17EB9A" w14:textId="77777777" w:rsidR="005D314E" w:rsidRPr="00576C3D" w:rsidRDefault="005D314E" w:rsidP="00576C3D">
      <w:pPr>
        <w:pStyle w:val="friliste"/>
      </w:pPr>
      <w:r w:rsidRPr="00576C3D">
        <w:t>22)</w:t>
      </w:r>
      <w:r w:rsidRPr="00576C3D">
        <w:tab/>
        <w:t>CBAM-systemet har noen spesifikke egenskaper sammenlignet med EU ETS, herunder når det gjelder beregning av prisen på CBAM-sertifikater, mulighetene for å handle med CBAM-sertifikater og deres gyldighetsperiode. Disse funksjonene skyldes behovet for å bevare effektiviteten til CBAM som et tiltak for å forhindre karbonlekkasje over tid. De sikrer også at forvaltningen av CBAM-systemet ikke er urimelig tyngende, verken når det gjelder forpliktelser som pålegges operatører eller administrative ressurser, samtidig som de opprettholder en grad av fleksibilitet for operatører som er like høy som den som er fastsatt i EU ETS. Å sikre en slik balanse er særlig viktig for berørte små og mellomstore bedrifter (SMB-er).</w:t>
      </w:r>
    </w:p>
    <w:p w14:paraId="29B66477" w14:textId="77777777" w:rsidR="005D314E" w:rsidRPr="00576C3D" w:rsidRDefault="005D314E" w:rsidP="00576C3D">
      <w:pPr>
        <w:pStyle w:val="friliste"/>
      </w:pPr>
      <w:r w:rsidRPr="00576C3D">
        <w:t>23)</w:t>
      </w:r>
      <w:r w:rsidRPr="00576C3D">
        <w:tab/>
        <w:t>For at CBAM skal forbli effektivt som et tiltak for å forhindre karbonlekkasje, må det nøye gjenspeile EU ETS-prisen. Mens prisen på kvoter som slippes ut på markedet i EU ETS, fastsettes gjennom auksjoner, bør prisen på CBAM-sertifikater i rimelig grad gjenspeile prisen fra slike auksjoner gjennom gjennomsnitt beregnet på ukentlig basis. Slike ukentlige gjennomsnittspriser gjenspeiler nøye prissvingningene i EU ETS og gir importørene en rimelig margin til å utnytte prisendringene i EU ETS, samtidig som det sikres at systemet fortsatt er håndterbart for administrative myndigheter.</w:t>
      </w:r>
    </w:p>
    <w:p w14:paraId="5538E3D3" w14:textId="77777777" w:rsidR="005D314E" w:rsidRPr="00576C3D" w:rsidRDefault="005D314E" w:rsidP="00576C3D">
      <w:pPr>
        <w:pStyle w:val="friliste"/>
      </w:pPr>
      <w:r w:rsidRPr="00576C3D">
        <w:t>24)</w:t>
      </w:r>
      <w:r w:rsidRPr="00576C3D">
        <w:tab/>
        <w:t xml:space="preserve">Under EU ETS er det taket som bestemmer tilførselen av utslippskvoter og gir sikkerhet når det gjelder maksimale utslipp av klimagasser. Karbonprisen bestemmes av balansen mellom dette tilbudet og etterspørselen i markedet. Knapphet er nødvendig for at det skal foreligge et prisinsentiv. Det er ikke hensikten at denne forordningen skal innføre et tak på antallet CBAM-sertifikater som er tilgjengelige for importører; dersom importørene var i stand til å overføre og handle med CBAM-sertifikater, kunne denne muligheten ha ført til situasjoner der prisen på CBAM-sertifikater ikke lenger ville gjenspeile prisutviklingen i EU ETS. En slik situasjon vil redusere insentivet til avkarbonisering, favorisere karbonlekkasje og svekke det overordnede klimamålet for CBAM. Det ville også kunne føre til ulike priser for operatører fra ulike land. Begrensningene av mulighetene til å handle med CBAM-sertifikater og overføre dem er derfor begrunnet i behovet for å unngå å undergrave </w:t>
      </w:r>
      <w:proofErr w:type="spellStart"/>
      <w:r w:rsidRPr="00576C3D">
        <w:t>CBAMs</w:t>
      </w:r>
      <w:proofErr w:type="spellEnd"/>
      <w:r w:rsidRPr="00576C3D">
        <w:t xml:space="preserve"> effektivitets- og klimamål og for å sikre likeverdig behandling av operatører fra forskjellige land. For å bevare importørenes mulighet til å optimalisere sine kostnader bør denne forordningen imidlertid fastsette et system der myndigheter kan kjøpe tilbake et visst antall overskytende sertifikater fra importører. Dette antallet bør fastsettes på et nivå som gir importørene en rimelig margin til å utnytte sine kostnader i sertifikatets gyldighetsperiode, samtidig som den samlede prisoverføringseffekten opprettholdes, slik at det sikres at miljømålet for CBAM opprettholdes.</w:t>
      </w:r>
    </w:p>
    <w:p w14:paraId="0288F125" w14:textId="77777777" w:rsidR="005D314E" w:rsidRPr="00576C3D" w:rsidRDefault="005D314E" w:rsidP="00576C3D">
      <w:pPr>
        <w:pStyle w:val="friliste"/>
      </w:pPr>
      <w:r w:rsidRPr="00576C3D">
        <w:t>25)</w:t>
      </w:r>
      <w:r w:rsidRPr="00576C3D">
        <w:tab/>
        <w:t xml:space="preserve">Ettersom CBAM vil gjelde for import av varer til Unionens tollområde i stedet for til anlegg, vil visse tilpasninger og forenklinger også måtte gjelde for CBAM. Én slik forenkling bør være innføringen av et enkelt og tilgjengelig registersystem der importører rapporterer de totale verifiserte klimagassutslippene som er innbakt i varer importert i et bestemt kalenderår. Det bør også anvendes en annen tidsplan enn samsvarssyklusen i EU ETS for å unngå eventuelle flaskehalser som kan oppstå som følge av forpliktelser for akkrediterte </w:t>
      </w:r>
      <w:proofErr w:type="spellStart"/>
      <w:r w:rsidRPr="00576C3D">
        <w:t>verifikatører</w:t>
      </w:r>
      <w:proofErr w:type="spellEnd"/>
      <w:r w:rsidRPr="00576C3D">
        <w:t xml:space="preserve"> i henhold til denne forordningen og direktiv 2003/87/EF.</w:t>
      </w:r>
    </w:p>
    <w:p w14:paraId="5A97C399" w14:textId="77777777" w:rsidR="005D314E" w:rsidRPr="00576C3D" w:rsidRDefault="005D314E" w:rsidP="00576C3D">
      <w:pPr>
        <w:pStyle w:val="friliste"/>
      </w:pPr>
      <w:r w:rsidRPr="00576C3D">
        <w:t>26)</w:t>
      </w:r>
      <w:r w:rsidRPr="00576C3D">
        <w:tab/>
        <w:t>Medlemsstatene bør ilegge sanksjoner for overtredelse av denne forordningen, og påse at sanksjonene håndheves. Mer spesifikt bør overtredelsesgebyret dersom en autorisert CBAM-</w:t>
      </w:r>
      <w:proofErr w:type="spellStart"/>
      <w:r w:rsidRPr="00576C3D">
        <w:t>deklarant</w:t>
      </w:r>
      <w:proofErr w:type="spellEnd"/>
      <w:r w:rsidRPr="00576C3D">
        <w:t xml:space="preserve"> ikke innleverer CBAM-sertifikater, være identisk med beløpet i henhold til artikkel 16 nr. 3 og 4 i direktiv 2003/87/EF. Dersom varene er innført til Unionen av en annen person enn en autorisert CBAM-</w:t>
      </w:r>
      <w:proofErr w:type="spellStart"/>
      <w:r w:rsidRPr="00576C3D">
        <w:t>deklarant</w:t>
      </w:r>
      <w:proofErr w:type="spellEnd"/>
      <w:r w:rsidRPr="00576C3D">
        <w:t xml:space="preserve"> uten å oppfylle forpliktelsene i henhold til denne forordningen, bør imidlertid disse gebyrene være høyere for å være virkningsfulle, stå i forhold til overtredelsen og virke avskrekkende, også idet det tas hensyn til at denne personen ikke er pliktig til å innlevere CBAM-sertifikater. Ileggingen av gebyrer i henhold til denne forordningen berører ikke gebyrer som kan ilegges i henhold til unionsretten eller nasjonal rett for overtredelse av andre relevante forpliktelser, særlig forpliktelser knyttet til tollbestemmelser.</w:t>
      </w:r>
    </w:p>
    <w:p w14:paraId="0B37B667" w14:textId="77777777" w:rsidR="005D314E" w:rsidRPr="00576C3D" w:rsidRDefault="005D314E" w:rsidP="00576C3D">
      <w:pPr>
        <w:pStyle w:val="friliste"/>
      </w:pPr>
      <w:r w:rsidRPr="00576C3D">
        <w:t>27)</w:t>
      </w:r>
      <w:r w:rsidRPr="00576C3D">
        <w:tab/>
        <w:t>Mens EU ETS gjelder for visse produksjonsprosesser og aktiviteter, bør CBAM være rettet mot tilsvarende import av varer. Dette krever at importerte varer identifiseres tydelig ved hjelp av deres klassifisering i Den kombinerte nomenklatur («KN») fastsatt i rådsforordning (EØF) nr. 2658/87</w:t>
      </w:r>
      <w:r w:rsidRPr="00576C3D">
        <w:rPr>
          <w:rStyle w:val="Fotnotereferanse"/>
        </w:rPr>
        <w:footnoteReference w:id="9"/>
      </w:r>
      <w:r w:rsidRPr="00576C3D">
        <w:t xml:space="preserve"> og at de kobles til innbakte utslipp.</w:t>
      </w:r>
    </w:p>
    <w:p w14:paraId="735D5486" w14:textId="77777777" w:rsidR="005D314E" w:rsidRPr="00576C3D" w:rsidRDefault="005D314E" w:rsidP="00576C3D">
      <w:pPr>
        <w:pStyle w:val="friliste"/>
      </w:pPr>
      <w:r w:rsidRPr="00576C3D">
        <w:t>28)</w:t>
      </w:r>
      <w:r w:rsidRPr="00576C3D">
        <w:tab/>
        <w:t>Varene eller de foredlede produktene som omfattes av CBAM, bør gjenspeile virksomheten som omfattes av EU ETS, ettersom dette systemet er basert på kvantitative og kvalitative kriterier knyttet til miljømålet i direktiv 2003/87/EF og er det mest omfattende reguleringssystemet for utslipp av klimagasser i Unionen.</w:t>
      </w:r>
    </w:p>
    <w:p w14:paraId="5E8080FA" w14:textId="77777777" w:rsidR="005D314E" w:rsidRPr="00576C3D" w:rsidRDefault="005D314E" w:rsidP="00576C3D">
      <w:pPr>
        <w:pStyle w:val="friliste"/>
      </w:pPr>
      <w:r w:rsidRPr="00576C3D">
        <w:t>29)</w:t>
      </w:r>
      <w:r w:rsidRPr="00576C3D">
        <w:tab/>
        <w:t>Å definere virkeområdet for CBAM på en måte som gjenspeiler virksomheten som omfattes av EU ETS, vil også bidra til å sikre at importerte produkter gis en behandling som ikke er mindre gunstig enn den som gis tilsvarende produkter av innenlandsk opprinnelse.</w:t>
      </w:r>
    </w:p>
    <w:p w14:paraId="02E0F108" w14:textId="77777777" w:rsidR="005D314E" w:rsidRPr="00576C3D" w:rsidRDefault="005D314E" w:rsidP="00576C3D">
      <w:pPr>
        <w:pStyle w:val="friliste"/>
      </w:pPr>
      <w:r w:rsidRPr="00576C3D">
        <w:t>30)</w:t>
      </w:r>
      <w:r w:rsidRPr="00576C3D">
        <w:tab/>
        <w:t>Skjønt det endelige målet for CBAM er bred produktdekning, vil det være fornuftig å starte med et utvalgt antall sektorer med relativt homogene varer der det er risiko for karbonlekkasje. EU-sektorer som anses for å være utsatt for risiko for karbonlekkasje er oppført i delegert kommisjonsbeslutning (EU) 2019/708</w:t>
      </w:r>
      <w:r w:rsidRPr="00576C3D">
        <w:rPr>
          <w:rStyle w:val="Fotnotereferanse"/>
        </w:rPr>
        <w:footnoteReference w:id="10"/>
      </w:r>
      <w:r w:rsidRPr="00576C3D">
        <w:t>.</w:t>
      </w:r>
    </w:p>
    <w:p w14:paraId="0A8B7D34" w14:textId="77777777" w:rsidR="005D314E" w:rsidRPr="00576C3D" w:rsidRDefault="005D314E" w:rsidP="00576C3D">
      <w:pPr>
        <w:pStyle w:val="friliste"/>
      </w:pPr>
      <w:r w:rsidRPr="00576C3D">
        <w:t>31)</w:t>
      </w:r>
      <w:r w:rsidRPr="00576C3D">
        <w:tab/>
        <w:t xml:space="preserve">Varene som denne forordningen bør få </w:t>
      </w:r>
      <w:proofErr w:type="gramStart"/>
      <w:r w:rsidRPr="00576C3D">
        <w:t>anvendelse</w:t>
      </w:r>
      <w:proofErr w:type="gramEnd"/>
      <w:r w:rsidRPr="00576C3D">
        <w:t xml:space="preserve"> på, bør velges ut etter en grundig analyse av deres relevans når det gjelder kumulerte klimagassutslipp og risiko for karbonlekkasje i de tilsvarende EU ETS-sektorene, samtidig som kompleksiteten og den administrative byrden for de berørte operatørene begrenses. Ved utvelgelsen bør det særlig tas hensyn til grunnmaterialer og grunnprodukter som omfattes av EU ETS, for å sikre at utslipp som er innbakt i utslippsintensive produkter som importeres til Unionen, er underlagt en karbonpris som tilsvarer den som gjelder for unionsprodukter, og for å redusere risikoen for karbonlekkasje. De relevante kriteriene for å begrense utvalget bør være: for det første sektorenes relevans med tanke på utslipp, nærmere bestemt om sektoren er en av de største produsentene av klimagassutslipp, for det andre sektorens eksponering for betydelig risiko for karbonlekkasje, som definert i henhold til direktiv 2003/87/EF, og for det tredje behovet for å balansere bred produktdekning med tanke på klimagassutslipp, samtidig som kompleksiteten og den administrative byrden begrenses.</w:t>
      </w:r>
    </w:p>
    <w:p w14:paraId="244ED756" w14:textId="77777777" w:rsidR="005D314E" w:rsidRPr="00576C3D" w:rsidRDefault="005D314E" w:rsidP="00576C3D">
      <w:pPr>
        <w:pStyle w:val="friliste"/>
      </w:pPr>
      <w:r w:rsidRPr="00576C3D">
        <w:t>32)</w:t>
      </w:r>
      <w:r w:rsidRPr="00576C3D">
        <w:tab/>
        <w:t>Bruk av det første kriteriet vil gjøre det mulig å føre opp følgende industrisektorer når det gjelder kumulerte utslipp: jern og stål, raffinerier, sement, aluminium, organiske basiskjemikalier, hydrogen og gjødsel.</w:t>
      </w:r>
    </w:p>
    <w:p w14:paraId="7FA7C57C" w14:textId="77777777" w:rsidR="005D314E" w:rsidRPr="00576C3D" w:rsidRDefault="005D314E" w:rsidP="00576C3D">
      <w:pPr>
        <w:pStyle w:val="friliste"/>
      </w:pPr>
      <w:r w:rsidRPr="00576C3D">
        <w:t>33)</w:t>
      </w:r>
      <w:r w:rsidRPr="00576C3D">
        <w:tab/>
        <w:t>Visse sektorer som er oppført i delegert beslutning (EU) 2019/708, bør imidlertid ikke omfattes av denne forordningen på dette stadiet, på grunn av deres særlige egenskaper.</w:t>
      </w:r>
    </w:p>
    <w:p w14:paraId="62503366" w14:textId="77777777" w:rsidR="005D314E" w:rsidRPr="00576C3D" w:rsidRDefault="005D314E" w:rsidP="00576C3D">
      <w:pPr>
        <w:pStyle w:val="friliste"/>
      </w:pPr>
      <w:r w:rsidRPr="00576C3D">
        <w:t>34)</w:t>
      </w:r>
      <w:r w:rsidRPr="00576C3D">
        <w:tab/>
        <w:t>I særdeleshet bør organiske kjemikalier ikke omfattes av denne forordningens virkeområde på grunn av tekniske begrensninger som på tidspunktet for vedtakelsen av denne forordningen ikke gjør det mulig å klart definere de innbakte utslippene av slike importerte varer. For disse varene er gjeldende referanseverdi under EU ETS en grunnparameter, som ikke gir mulighet for en utvetydig tildeling av utslipp som er innbakt i individuelle importerte varer. En mer målrettet tildeling til organiske kjemikalier krever mer data og analyse.</w:t>
      </w:r>
    </w:p>
    <w:p w14:paraId="39D0B057" w14:textId="77777777" w:rsidR="005D314E" w:rsidRPr="00576C3D" w:rsidRDefault="005D314E" w:rsidP="00576C3D">
      <w:pPr>
        <w:pStyle w:val="friliste"/>
      </w:pPr>
      <w:r w:rsidRPr="00576C3D">
        <w:t>35)</w:t>
      </w:r>
      <w:r w:rsidRPr="00576C3D">
        <w:tab/>
        <w:t>Tilsvarende tekniske begrensninger gjelder for raffineriprodukter der det ikke er mulig å tilskrive utslipp av klimagasser til individuelle produkter på en entydig måte. Samtidig er den relevante referanseverdien i EU ETS ikke direkte knyttet til bestemte produkter, for eksempel bensin, diesel eller parafin, men til all raffineriproduksjon.</w:t>
      </w:r>
    </w:p>
    <w:p w14:paraId="1609BCBE" w14:textId="77777777" w:rsidR="005D314E" w:rsidRPr="00576C3D" w:rsidRDefault="005D314E" w:rsidP="00576C3D">
      <w:pPr>
        <w:pStyle w:val="friliste"/>
      </w:pPr>
      <w:r w:rsidRPr="00576C3D">
        <w:t>36)</w:t>
      </w:r>
      <w:r w:rsidRPr="00576C3D">
        <w:tab/>
        <w:t>Aluminiumprodukter bør inkluderes i CBAM da de er svært utsatt for karbonlekkasje. I flere industrielle anvendelser er de dessuten i direkte konkurranse med stålprodukter ettersom de har egenskaper som ligner på egenskapene til stålprodukter.</w:t>
      </w:r>
    </w:p>
    <w:p w14:paraId="0E9A9546" w14:textId="77777777" w:rsidR="005D314E" w:rsidRPr="00576C3D" w:rsidRDefault="005D314E" w:rsidP="00576C3D">
      <w:pPr>
        <w:pStyle w:val="friliste"/>
      </w:pPr>
      <w:r w:rsidRPr="00576C3D">
        <w:t>37)</w:t>
      </w:r>
      <w:r w:rsidRPr="00576C3D">
        <w:tab/>
        <w:t xml:space="preserve">På tidspunktet for vedtakelsen av denne forordningen er importen av hydrogen til Unionen relativt lav. Situasjonen forventes imidlertid å endre seg betydelig i årene som kommer, ettersom Unionens «Klar for 55»-pakke fremmer bruken av fornybart hydrogen. For avkarboniseringen av industrien som helhet vil etterspørselen etter fornybart hydrogen øke, og dermed føre til ikke-integrerte produksjonsprosesser i </w:t>
      </w:r>
      <w:proofErr w:type="spellStart"/>
      <w:r w:rsidRPr="00576C3D">
        <w:t>nedstrømsprodukter</w:t>
      </w:r>
      <w:proofErr w:type="spellEnd"/>
      <w:r w:rsidRPr="00576C3D">
        <w:t xml:space="preserve"> der hydrogen er en forløper. Å inkludere hydrogen i virkeområdet for CBAM er det hensiktsmessige virkemiddelet for ytterligere å fremme avkarbonisering av hydrogen.</w:t>
      </w:r>
    </w:p>
    <w:p w14:paraId="5B5D6682" w14:textId="77777777" w:rsidR="005D314E" w:rsidRPr="00576C3D" w:rsidRDefault="005D314E" w:rsidP="00576C3D">
      <w:pPr>
        <w:pStyle w:val="friliste"/>
      </w:pPr>
      <w:r w:rsidRPr="00576C3D">
        <w:t>38)</w:t>
      </w:r>
      <w:r w:rsidRPr="00576C3D">
        <w:tab/>
        <w:t xml:space="preserve">På samme måte bør visse produkter omfattes av CBAM til tross for at de har et lavt nivå av innbakte utslipp fra produksjonsprosessen, ettersom det å utelukke dem vil øke sannsynligheten for at inkluderingen av stålprodukter i CBAM blir omgått, ved at handelsmønsteret endrer seg til fordel for </w:t>
      </w:r>
      <w:proofErr w:type="spellStart"/>
      <w:r w:rsidRPr="00576C3D">
        <w:t>nedstrømsprodukter</w:t>
      </w:r>
      <w:proofErr w:type="spellEnd"/>
      <w:r w:rsidRPr="00576C3D">
        <w:t>.</w:t>
      </w:r>
    </w:p>
    <w:p w14:paraId="29327F64" w14:textId="77777777" w:rsidR="005D314E" w:rsidRPr="00576C3D" w:rsidRDefault="005D314E" w:rsidP="00576C3D">
      <w:pPr>
        <w:pStyle w:val="friliste"/>
      </w:pPr>
      <w:r w:rsidRPr="00576C3D">
        <w:t>39)</w:t>
      </w:r>
      <w:r w:rsidRPr="00576C3D">
        <w:tab/>
        <w:t xml:space="preserve">Omvendt bør denne forordningen i utgangspunktet ikke få </w:t>
      </w:r>
      <w:proofErr w:type="gramStart"/>
      <w:r w:rsidRPr="00576C3D">
        <w:t>anvendelse</w:t>
      </w:r>
      <w:proofErr w:type="gramEnd"/>
      <w:r w:rsidRPr="00576C3D">
        <w:t xml:space="preserve"> på visse produkter hvis produksjon ikke medfører meningsfulle utslipp, for eksempel jernskrap, noen ferrolegeringer og visse gjødselstoffer.</w:t>
      </w:r>
    </w:p>
    <w:p w14:paraId="114DE3F7" w14:textId="77777777" w:rsidR="005D314E" w:rsidRPr="00576C3D" w:rsidRDefault="005D314E" w:rsidP="00576C3D">
      <w:pPr>
        <w:pStyle w:val="friliste"/>
      </w:pPr>
      <w:r w:rsidRPr="00576C3D">
        <w:t>40)</w:t>
      </w:r>
      <w:r w:rsidRPr="00576C3D">
        <w:tab/>
        <w:t>Import av elektrisitet bør omfattes av denne forordningens virkeområde, ettersom denne sektoren står for 30 % av de samlede klimagassutslippene i Unionen. Unionens økte klimaambisjoner vil øke gapet i karbonkostnader mellom elektrisitetsproduksjonen i Unionen og tredjeland. Dette gapet, kombinert med framgangen med å koble Unionens elektrisitetsnett til naboene, vil øke risikoen for karbonlekkasje som følge av økningen i importen av elektrisitet der en betydelig del er produsert av kullfyrte kraftverk.</w:t>
      </w:r>
    </w:p>
    <w:p w14:paraId="742F3CE4" w14:textId="77777777" w:rsidR="005D314E" w:rsidRPr="00576C3D" w:rsidRDefault="005D314E" w:rsidP="00576C3D">
      <w:pPr>
        <w:pStyle w:val="friliste"/>
      </w:pPr>
      <w:r w:rsidRPr="00576C3D">
        <w:t>41)</w:t>
      </w:r>
      <w:r w:rsidRPr="00576C3D">
        <w:tab/>
        <w:t xml:space="preserve">For å unngå en uforholdsmessig stor administrativ byrde for vedkommende nasjonale forvaltninger og importører bør det angis i hvilke begrensede tilfeller forpliktelsene i henhold til denne forordningen ikke bør få </w:t>
      </w:r>
      <w:proofErr w:type="gramStart"/>
      <w:r w:rsidRPr="00576C3D">
        <w:t>anvendelse</w:t>
      </w:r>
      <w:proofErr w:type="gramEnd"/>
      <w:r w:rsidRPr="00576C3D">
        <w:t xml:space="preserve">. Denne </w:t>
      </w:r>
      <w:r w:rsidRPr="00576C3D">
        <w:rPr>
          <w:rStyle w:val="kursiv"/>
        </w:rPr>
        <w:t xml:space="preserve">de </w:t>
      </w:r>
      <w:proofErr w:type="spellStart"/>
      <w:r w:rsidRPr="00576C3D">
        <w:rPr>
          <w:rStyle w:val="kursiv"/>
        </w:rPr>
        <w:t>minimis</w:t>
      </w:r>
      <w:proofErr w:type="spellEnd"/>
      <w:r w:rsidRPr="00576C3D">
        <w:t xml:space="preserve">-bestemmelsen berører imidlertid ikke en fortsatt </w:t>
      </w:r>
      <w:proofErr w:type="gramStart"/>
      <w:r w:rsidRPr="00576C3D">
        <w:t>anvendelse</w:t>
      </w:r>
      <w:proofErr w:type="gramEnd"/>
      <w:r w:rsidRPr="00576C3D">
        <w:t xml:space="preserve"> av de bestemmelsene i unionsretten eller nasjonal rett som er nødvendige for å sikre overholdelse av forpliktelsene i henhold til denne forordningen, og særlig tollovgivningen, herunder forebygging av svindel.</w:t>
      </w:r>
    </w:p>
    <w:p w14:paraId="533FDF94" w14:textId="77777777" w:rsidR="005D314E" w:rsidRPr="00576C3D" w:rsidRDefault="005D314E" w:rsidP="00576C3D">
      <w:pPr>
        <w:pStyle w:val="friliste"/>
      </w:pPr>
      <w:r w:rsidRPr="00576C3D">
        <w:t>42)</w:t>
      </w:r>
      <w:r w:rsidRPr="00576C3D">
        <w:tab/>
        <w:t>Ettersom importører av varer som omfattes av denne forordningen, ikke skal måtte behøve å oppfylle sine forpliktelser i henhold til denne forordningen på importtidspunktet, bør det anvendes særlige administrative tiltak for å sikre at slike forpliktelser oppfylles på et senere tidspunkt. Importører bør derfor bare ha rett til å importere varer som er omfattet av denne forordningen, etter at vedkommende myndigheter har gitt dem autorisasjon.</w:t>
      </w:r>
    </w:p>
    <w:p w14:paraId="54710835" w14:textId="77777777" w:rsidR="005D314E" w:rsidRPr="00576C3D" w:rsidRDefault="005D314E" w:rsidP="00576C3D">
      <w:pPr>
        <w:pStyle w:val="friliste"/>
      </w:pPr>
      <w:r w:rsidRPr="00576C3D">
        <w:t>43)</w:t>
      </w:r>
      <w:r w:rsidRPr="00576C3D">
        <w:tab/>
        <w:t>Tollmyndighetene bør ikke tillate at varer importeres av andre personer enn en autorisert CBAM-</w:t>
      </w:r>
      <w:proofErr w:type="spellStart"/>
      <w:r w:rsidRPr="00576C3D">
        <w:t>deklarant</w:t>
      </w:r>
      <w:proofErr w:type="spellEnd"/>
      <w:r w:rsidRPr="00576C3D">
        <w:t>. I samsvar med artikkel 46 og 48 i europaparlaments- og rådsforordning (EU) nr. 952/2013</w:t>
      </w:r>
      <w:r w:rsidRPr="00576C3D">
        <w:rPr>
          <w:rStyle w:val="Fotnotereferanse"/>
        </w:rPr>
        <w:footnoteReference w:id="11"/>
      </w:r>
      <w:r w:rsidRPr="00576C3D">
        <w:t xml:space="preserve"> har tollmyndighetene rett til å utføre kontroller av varene, herunder med hensyn til identifikasjon av den autoriserte CBAM-</w:t>
      </w:r>
      <w:proofErr w:type="spellStart"/>
      <w:r w:rsidRPr="00576C3D">
        <w:t>deklaranten</w:t>
      </w:r>
      <w:proofErr w:type="spellEnd"/>
      <w:r w:rsidRPr="00576C3D">
        <w:t xml:space="preserve">, den </w:t>
      </w:r>
      <w:proofErr w:type="spellStart"/>
      <w:r w:rsidRPr="00576C3D">
        <w:t>åttesifrede</w:t>
      </w:r>
      <w:proofErr w:type="spellEnd"/>
      <w:r w:rsidRPr="00576C3D">
        <w:t xml:space="preserve"> KN-koden, de importerte varenes mengde og opprinnelsesland, deklarasjonsdato og tollprosedyre. Kommisjonen bør inkludere risikoene knyttet til CBAM i fastsettelsen av de felles risikokriteriene og -standardene i henhold til artikkel 50 i forordning (EU) nr. 952/2013.</w:t>
      </w:r>
    </w:p>
    <w:p w14:paraId="0F54B21F" w14:textId="77777777" w:rsidR="005D314E" w:rsidRPr="00576C3D" w:rsidRDefault="005D314E" w:rsidP="00576C3D">
      <w:pPr>
        <w:pStyle w:val="friliste"/>
      </w:pPr>
      <w:r w:rsidRPr="00576C3D">
        <w:t>44)</w:t>
      </w:r>
      <w:r w:rsidRPr="00576C3D">
        <w:tab/>
        <w:t xml:space="preserve">I en overgangsperiode bør tollmyndighetene underrette </w:t>
      </w:r>
      <w:proofErr w:type="spellStart"/>
      <w:r w:rsidRPr="00576C3D">
        <w:t>tolldeklarantene</w:t>
      </w:r>
      <w:proofErr w:type="spellEnd"/>
      <w:r w:rsidRPr="00576C3D">
        <w:t xml:space="preserve"> om plikten til å rapportere opplysninger, slik at de kan bidra til innsamling av opplysninger og til bevissthet om behovet for å anmode om status som autoriserte CBAM-</w:t>
      </w:r>
      <w:proofErr w:type="spellStart"/>
      <w:r w:rsidRPr="00576C3D">
        <w:t>deklaranter</w:t>
      </w:r>
      <w:proofErr w:type="spellEnd"/>
      <w:r w:rsidRPr="00576C3D">
        <w:t xml:space="preserve">, der dette er relevant. Slike opplysninger bør gis av tollmyndighetene på en hensiktsmessig måte for å sikre at </w:t>
      </w:r>
      <w:proofErr w:type="spellStart"/>
      <w:r w:rsidRPr="00576C3D">
        <w:t>tolldeklarantene</w:t>
      </w:r>
      <w:proofErr w:type="spellEnd"/>
      <w:r w:rsidRPr="00576C3D">
        <w:t xml:space="preserve"> gjøres oppmerksomme på en slik forpliktelse.</w:t>
      </w:r>
    </w:p>
    <w:p w14:paraId="3F421312" w14:textId="77777777" w:rsidR="005D314E" w:rsidRPr="00576C3D" w:rsidRDefault="005D314E" w:rsidP="00576C3D">
      <w:pPr>
        <w:pStyle w:val="friliste"/>
      </w:pPr>
      <w:r w:rsidRPr="00576C3D">
        <w:t>45)</w:t>
      </w:r>
      <w:r w:rsidRPr="00576C3D">
        <w:tab/>
        <w:t>CBAM bør være basert på et registersystem der en autorisert CBAM-</w:t>
      </w:r>
      <w:proofErr w:type="spellStart"/>
      <w:r w:rsidRPr="00576C3D">
        <w:t>deklarant</w:t>
      </w:r>
      <w:proofErr w:type="spellEnd"/>
      <w:r w:rsidRPr="00576C3D">
        <w:t>, som kan representere mer enn én importør, hvert år sender inn en erklæring av utslippene som er innbakt i varene som importeres til Unionens tollområde, og innleverer antallet CBAM-sertifikater som tilsvarer de deklarerte utslippene. Den første CBAM-erklæringen, for kalenderåret 2026, bør framlegges innen 31. mai 2027.</w:t>
      </w:r>
    </w:p>
    <w:p w14:paraId="64E28223" w14:textId="77777777" w:rsidR="005D314E" w:rsidRPr="00576C3D" w:rsidRDefault="005D314E" w:rsidP="00576C3D">
      <w:pPr>
        <w:pStyle w:val="friliste"/>
      </w:pPr>
      <w:r w:rsidRPr="00576C3D">
        <w:t>46)</w:t>
      </w:r>
      <w:r w:rsidRPr="00576C3D">
        <w:tab/>
        <w:t>En autorisert CBAM-</w:t>
      </w:r>
      <w:proofErr w:type="spellStart"/>
      <w:r w:rsidRPr="00576C3D">
        <w:t>deklarant</w:t>
      </w:r>
      <w:proofErr w:type="spellEnd"/>
      <w:r w:rsidRPr="00576C3D">
        <w:t xml:space="preserve"> bør kunne kreve en reduksjon i antall CBAM-sertifikater som skal innleveres, tilsvarende den karbonprisen som allerede er betalt i opprinnelseslandet for de innbakte utslippene som er deklarert.</w:t>
      </w:r>
    </w:p>
    <w:p w14:paraId="60A7686E" w14:textId="77777777" w:rsidR="005D314E" w:rsidRPr="00576C3D" w:rsidRDefault="005D314E" w:rsidP="00576C3D">
      <w:pPr>
        <w:pStyle w:val="friliste"/>
      </w:pPr>
      <w:r w:rsidRPr="00576C3D">
        <w:t>47)</w:t>
      </w:r>
      <w:r w:rsidRPr="00576C3D">
        <w:tab/>
        <w:t>De deklarerte innbakte utslippene bør verifiseres av en person som er akkreditert av et nasjonalt akkrediteringsorgan som er utpekt i samsvar med europaparlaments- og rådsforordning (EF) nr. 765/2008</w:t>
      </w:r>
      <w:r w:rsidRPr="00576C3D">
        <w:rPr>
          <w:rStyle w:val="Fotnotereferanse"/>
        </w:rPr>
        <w:footnoteReference w:id="12"/>
      </w:r>
      <w:r w:rsidRPr="00576C3D">
        <w:t xml:space="preserve"> eller i henhold til Kommisjonens gjennomføringsforordning (EU) 2018/2067</w:t>
      </w:r>
      <w:r w:rsidRPr="00576C3D">
        <w:rPr>
          <w:rStyle w:val="Fotnotereferanse"/>
        </w:rPr>
        <w:footnoteReference w:id="13"/>
      </w:r>
      <w:r w:rsidRPr="00576C3D">
        <w:t>.</w:t>
      </w:r>
    </w:p>
    <w:p w14:paraId="115E3D7F" w14:textId="77777777" w:rsidR="005D314E" w:rsidRPr="00576C3D" w:rsidRDefault="005D314E" w:rsidP="00576C3D">
      <w:pPr>
        <w:pStyle w:val="friliste"/>
      </w:pPr>
      <w:r w:rsidRPr="00576C3D">
        <w:t>48)</w:t>
      </w:r>
      <w:r w:rsidRPr="00576C3D">
        <w:tab/>
        <w:t>CBAM bør gjøre det mulig for operatører av produksjonsanlegg i tredjeland å registrere seg i CBAM-registeret og gjøre sine verifiserte innbakte utslipp fra produksjon av varer tilgjengelige for autoriserte CBAM-</w:t>
      </w:r>
      <w:proofErr w:type="spellStart"/>
      <w:r w:rsidRPr="00576C3D">
        <w:t>deklaranter</w:t>
      </w:r>
      <w:proofErr w:type="spellEnd"/>
      <w:r w:rsidRPr="00576C3D">
        <w:t>. En operatør bør kunne velge at navn, adresse og kontaktinformasjon i CBAM-registeret ikke gjøres tilgjengelig for allmennheten.</w:t>
      </w:r>
    </w:p>
    <w:p w14:paraId="6769FC70" w14:textId="77777777" w:rsidR="005D314E" w:rsidRPr="00576C3D" w:rsidRDefault="005D314E" w:rsidP="00576C3D">
      <w:pPr>
        <w:pStyle w:val="friliste"/>
      </w:pPr>
      <w:r w:rsidRPr="00576C3D">
        <w:t>49)</w:t>
      </w:r>
      <w:r w:rsidRPr="00576C3D">
        <w:tab/>
        <w:t>CBAM-sertifikater vil avvike fra EU ETS-kvoter der daglig auksjonering er en vesentlig funksjon. Behovet for å fastsette en klar pris for CBAM-sertifikater vil gjøre daglig publisering uforholdsmessig tungvint og forvirrende for operatørene, siden daglige priser risikerer å være foreldet når de publiseres. Dermed vil publisering av CBAM-priser på ukentlig basis mer nøyaktig gjenspeile prisutviklingen for EU ETS-kvoter som slippes ut på markedet, og være tilstrekkelig for det samme klimamålet. Beregningen av prisen på CBAM-sertifikater bør derfor fastsettes på grunnlag av en lengre tidsramme, nærmere bestemt ukentlig, enn den tidsrammen som er fastsatt av EU ETS, nærmere bestemt daglig. Kommisjonen bør få i oppgave å beregne og offentliggjøre denne gjennomsnittsprisen.</w:t>
      </w:r>
    </w:p>
    <w:p w14:paraId="68064394" w14:textId="77777777" w:rsidR="005D314E" w:rsidRPr="00576C3D" w:rsidRDefault="005D314E" w:rsidP="00576C3D">
      <w:pPr>
        <w:pStyle w:val="friliste"/>
      </w:pPr>
      <w:r w:rsidRPr="00576C3D">
        <w:t>50)</w:t>
      </w:r>
      <w:r w:rsidRPr="00576C3D">
        <w:tab/>
        <w:t>For å gi autoriserte CBAM-</w:t>
      </w:r>
      <w:proofErr w:type="spellStart"/>
      <w:r w:rsidRPr="00576C3D">
        <w:t>deklaranter</w:t>
      </w:r>
      <w:proofErr w:type="spellEnd"/>
      <w:r w:rsidRPr="00576C3D">
        <w:t xml:space="preserve"> fleksibilitet til å oppfylle sine forpliktelser i henhold til denne forordningen og gjøre det mulig for dem å dra nytte av svingninger i prisen på EU ETS-kvoter, bør CBAM-sertifikater være gyldige i et begrenset tidsrom fra kjøpsdatoen. Den autoriserte CBAM-</w:t>
      </w:r>
      <w:proofErr w:type="spellStart"/>
      <w:r w:rsidRPr="00576C3D">
        <w:t>deklaranten</w:t>
      </w:r>
      <w:proofErr w:type="spellEnd"/>
      <w:r w:rsidRPr="00576C3D">
        <w:t xml:space="preserve"> bør kunne videreselge en del av de sertifikatene som er kjøpt for mye. Med sikte på å innlevere CBAM-sertifikater bør den autoriserte CBAM-</w:t>
      </w:r>
      <w:proofErr w:type="spellStart"/>
      <w:r w:rsidRPr="00576C3D">
        <w:t>deklaranten</w:t>
      </w:r>
      <w:proofErr w:type="spellEnd"/>
      <w:r w:rsidRPr="00576C3D">
        <w:t xml:space="preserve"> akkumulere det antallet sertifikater som kreves i løpet av året, og som tilsvarer de tersklene som er fastsatt ved utgangen av hvert kvartal.</w:t>
      </w:r>
    </w:p>
    <w:p w14:paraId="535B7E60" w14:textId="77777777" w:rsidR="005D314E" w:rsidRPr="00576C3D" w:rsidRDefault="005D314E" w:rsidP="00576C3D">
      <w:pPr>
        <w:pStyle w:val="friliste"/>
      </w:pPr>
      <w:r w:rsidRPr="00576C3D">
        <w:t>51)</w:t>
      </w:r>
      <w:r w:rsidRPr="00576C3D">
        <w:tab/>
        <w:t>De fysiske egenskapene til elektrisitet som et produkt rettferdiggjør en litt annerledes utforming innen CBAM sammenlignet med andre varer. Standardverdier bør brukes under klart angitte forhold, og det bør være mulig for autoriserte CBAM-</w:t>
      </w:r>
      <w:proofErr w:type="spellStart"/>
      <w:r w:rsidRPr="00576C3D">
        <w:t>deklaranter</w:t>
      </w:r>
      <w:proofErr w:type="spellEnd"/>
      <w:r w:rsidRPr="00576C3D">
        <w:t xml:space="preserve"> å kreve å få beregnet sine forpliktelser i henhold til denne forordningen basert på faktiske utslipp. Handel med elektrisitet er forskjellig fra handel med andre varer, særlig fordi den omsettes gjennom sammenkoblede elektrisitetsnett, ved hjelp av kraftbørser og bestemte former for handel. Markedskobling er en tett regulert form for elektrisitetshandel som gjør det mulig å samle kjøps- og salgstilbud i hele Unionen.</w:t>
      </w:r>
    </w:p>
    <w:p w14:paraId="780BFB25" w14:textId="77777777" w:rsidR="005D314E" w:rsidRPr="00576C3D" w:rsidRDefault="005D314E" w:rsidP="00576C3D">
      <w:pPr>
        <w:pStyle w:val="friliste"/>
      </w:pPr>
      <w:r w:rsidRPr="00576C3D">
        <w:t>52)</w:t>
      </w:r>
      <w:r w:rsidRPr="00576C3D">
        <w:tab/>
        <w:t>For å unngå risikoen for omgåelse og forbedre sporbarheten av faktiske CO</w:t>
      </w:r>
      <w:r w:rsidRPr="00576C3D">
        <w:rPr>
          <w:rStyle w:val="skrift-senket"/>
        </w:rPr>
        <w:t>2</w:t>
      </w:r>
      <w:r w:rsidRPr="00576C3D">
        <w:t>-utslipp fra import av elektrisitet og bruken av denne i varer, bør beregning av faktiske utslipp bare tillates på visse strenge vilkår. Det bør særlig være nødvendig å påvise at den tildelte overføringskapasiteten er bindende fastsatt, og at det foreligger et direkte kontraktsforhold mellom kjøperen og produsenten av fornybar elektrisitet, eller mellom kjøperen og produsenten av elektrisitet som har utslipp som er lavere enn standardverdien.</w:t>
      </w:r>
    </w:p>
    <w:p w14:paraId="7EAEA536" w14:textId="77777777" w:rsidR="005D314E" w:rsidRPr="00576C3D" w:rsidRDefault="005D314E" w:rsidP="00576C3D">
      <w:pPr>
        <w:pStyle w:val="friliste"/>
      </w:pPr>
      <w:r w:rsidRPr="00576C3D">
        <w:t>53)</w:t>
      </w:r>
      <w:r w:rsidRPr="00576C3D">
        <w:tab/>
        <w:t>For å redusere risikoen for karbonlekkasje bør Kommisjonen iverksette tiltak for å håndtere omgåelse. Kommisjonen bør vurdere risikoen for slik omgåelse i alle sektorer som omfattes av denne forordningen.</w:t>
      </w:r>
    </w:p>
    <w:p w14:paraId="0D0502AE" w14:textId="77777777" w:rsidR="005D314E" w:rsidRPr="00576C3D" w:rsidRDefault="005D314E" w:rsidP="00576C3D">
      <w:pPr>
        <w:pStyle w:val="friliste"/>
      </w:pPr>
      <w:r w:rsidRPr="00576C3D">
        <w:t>54)</w:t>
      </w:r>
      <w:r w:rsidRPr="00576C3D">
        <w:tab/>
        <w:t>Avtalepartene i traktaten om opprettelse av energifellesskapet som ble inngått ved rådsbeslutning 2006/500/EF</w:t>
      </w:r>
      <w:r w:rsidRPr="00576C3D">
        <w:rPr>
          <w:rStyle w:val="Fotnotereferanse"/>
        </w:rPr>
        <w:footnoteReference w:id="14"/>
      </w:r>
      <w:r w:rsidRPr="00576C3D">
        <w:t>, og parter i assosieringsavtaler, herunder dype og omfattende frihandelsområder, er forpliktet til avkarboniseringsprosesser som til slutt bør resultere i at det vedtas karbonprisingsmekanismer som ligner eller tilsvarer EU ETS, eller til å delta i EU ETS.</w:t>
      </w:r>
    </w:p>
    <w:p w14:paraId="14447CA5" w14:textId="77777777" w:rsidR="005D314E" w:rsidRPr="00576C3D" w:rsidRDefault="005D314E" w:rsidP="00576C3D">
      <w:pPr>
        <w:pStyle w:val="friliste"/>
      </w:pPr>
      <w:r w:rsidRPr="00576C3D">
        <w:t>55)</w:t>
      </w:r>
      <w:r w:rsidRPr="00576C3D">
        <w:tab/>
        <w:t>Integreringen av tredjeland i Unionens elektrisitetsmarked er en viktig faktor for at disse landene skal kunne påskynde overgangen til energisystemer med stor andel fornybar energi. Markedskobling av elektrisitet, som fastsatt i kommisjonsforordning (EU) 2015/1222</w:t>
      </w:r>
      <w:r w:rsidRPr="00576C3D">
        <w:rPr>
          <w:rStyle w:val="Fotnotereferanse"/>
        </w:rPr>
        <w:footnoteReference w:id="15"/>
      </w:r>
      <w:r w:rsidRPr="00576C3D">
        <w:t xml:space="preserve">, gjør det mulig for tredjeland å </w:t>
      </w:r>
      <w:proofErr w:type="gramStart"/>
      <w:r w:rsidRPr="00576C3D">
        <w:t>integrere</w:t>
      </w:r>
      <w:proofErr w:type="gramEnd"/>
      <w:r w:rsidRPr="00576C3D">
        <w:t xml:space="preserve"> elektrisitet fra fornybare energikilder bedre i elektrisitetsmarkedet, å utveksle slik elektrisitet på en effektiv måte innenfor et bredere område, balansere tilbud og etterspørsel innenfor det større EU-markedet, og å redusere CO</w:t>
      </w:r>
      <w:r w:rsidRPr="00576C3D">
        <w:rPr>
          <w:rStyle w:val="skrift-senket"/>
        </w:rPr>
        <w:t>2</w:t>
      </w:r>
      <w:r w:rsidRPr="00576C3D">
        <w:t>-utslippsintensiteten for deres elektrisitetsproduksjon. Integrering av tredjeland i Unionens elektrisitetsmarked bidrar også til å sikre elektrisitetsforsyningen i disse landene og i nabomedlemsstatene.</w:t>
      </w:r>
    </w:p>
    <w:p w14:paraId="226E7898" w14:textId="77777777" w:rsidR="005D314E" w:rsidRPr="00576C3D" w:rsidRDefault="005D314E" w:rsidP="00576C3D">
      <w:pPr>
        <w:pStyle w:val="friliste"/>
      </w:pPr>
      <w:r w:rsidRPr="00576C3D">
        <w:t>56)</w:t>
      </w:r>
      <w:r w:rsidRPr="00576C3D">
        <w:tab/>
        <w:t>Når tredjelands elektrisitetsmarkeder er blitt tett integrert i Unionens gjennom markedskobling, bør det finnes tekniske løsninger for å sikre at CBAM anvendes på elektrisitet som eksporteres fra disse landene til Unionens tollområde. Dersom tekniske løsninger ikke lar seg finne, bør tredjeland som har markeder som er koblet til markedene i Unionen, omfattes av et tidsbegrenset unntak fra CBAM fram til 2030 bare med hensyn til eksport av elektrisitet, forutsatt at visse vilkår er oppfylt. Disse tredjelandene bør imidlertid utarbeide et veikart og forplikte seg til å gjennomføre en karbonprisingsmekanisme som medfører en pris som tilsvarer EU ETS, og bør forplikte seg til å oppnå karbonnøytralitet senest i 2050, samt til å tilpasse seg Unionens regelverk på områdene miljø, klima, konkurranse og energi. Slike unntak bør når som helst trekkes tilbake dersom det er grunn til å tro at det aktuelle landet ikke oppfyller sine forpliktelser, eller dersom det ikke innen 2030 har vedtatt et kvotehandelssystem som tilsvarer EU ETS.</w:t>
      </w:r>
    </w:p>
    <w:p w14:paraId="031530F8" w14:textId="77777777" w:rsidR="005D314E" w:rsidRPr="00576C3D" w:rsidRDefault="005D314E" w:rsidP="00576C3D">
      <w:pPr>
        <w:pStyle w:val="friliste"/>
      </w:pPr>
      <w:r w:rsidRPr="00576C3D">
        <w:t>57)</w:t>
      </w:r>
      <w:r w:rsidRPr="00576C3D">
        <w:tab/>
        <w:t>Overgangsbestemmelser bør gjelde i et begrenset tidsrom. For dette formålet bør CBAM anvendes uten økonomisk justering, med henblikk på å tilrettelegge for en smidig utrulling, og dermed redusere risikoen for forstyrrende innvirkning på handelen. Importører bør hvert kvartal måtte rapportere de innbakte utslippene i varer som er importert i løpet av foregående kvartal av kalenderåret, med angivelse av direkte og indirekte utslipp samt eventuelle karbonpriser som faktisk er betalt i utlandet. Den siste CBAM-rapporten, som er rapporten som skal framlegges for siste kvartal 2025, skal framlegges innen 31. januar 2026.</w:t>
      </w:r>
    </w:p>
    <w:p w14:paraId="5F045416" w14:textId="77777777" w:rsidR="005D314E" w:rsidRPr="00576C3D" w:rsidRDefault="005D314E" w:rsidP="00576C3D">
      <w:pPr>
        <w:pStyle w:val="friliste"/>
      </w:pPr>
      <w:r w:rsidRPr="00576C3D">
        <w:t>58)</w:t>
      </w:r>
      <w:r w:rsidRPr="00576C3D">
        <w:tab/>
        <w:t>For å tilrettelegge for og sikre at CBAM fungerer tilfredsstillende, bør Kommisjonen yte støtte til vedkommende myndigheter når de utfører sine oppgaver og plikter i henhold til denne forordningen. Kommisjonen bør samordne, utstede retningslinjer og støtte utvekslingen av beste praksis.</w:t>
      </w:r>
    </w:p>
    <w:p w14:paraId="441AC076" w14:textId="77777777" w:rsidR="005D314E" w:rsidRPr="00576C3D" w:rsidRDefault="005D314E" w:rsidP="00576C3D">
      <w:pPr>
        <w:pStyle w:val="friliste"/>
      </w:pPr>
      <w:r w:rsidRPr="00576C3D">
        <w:t>59)</w:t>
      </w:r>
      <w:r w:rsidRPr="00576C3D">
        <w:tab/>
        <w:t>For å anvende denne forordningen på en kostnadseffektiv måte bør Kommisjonen forvalte CBAM-registeret som inneholder data om autoriserte CBAM-</w:t>
      </w:r>
      <w:proofErr w:type="spellStart"/>
      <w:r w:rsidRPr="00576C3D">
        <w:t>deklaranter</w:t>
      </w:r>
      <w:proofErr w:type="spellEnd"/>
      <w:r w:rsidRPr="00576C3D">
        <w:t>, operatører og anlegg i tredjeland.</w:t>
      </w:r>
    </w:p>
    <w:p w14:paraId="515651FF" w14:textId="77777777" w:rsidR="005D314E" w:rsidRPr="00576C3D" w:rsidRDefault="005D314E" w:rsidP="00576C3D">
      <w:pPr>
        <w:pStyle w:val="friliste"/>
      </w:pPr>
      <w:r w:rsidRPr="00576C3D">
        <w:t>60)</w:t>
      </w:r>
      <w:r w:rsidRPr="00576C3D">
        <w:tab/>
        <w:t>Det bør opprettes en felles sentral plattform for salg og tilbakekjøp av CBAM-sertifikater. Med henblikk på å føre tilsyn med transaksjonene på den felles sentrale plattformen bør Kommisjonen lette utvekslingen av opplysninger og samarbeidet mellom vedkommende myndigheter og mellom disse myndighetene og Kommisjonen. Videre bør det etableres en rask informasjonsflyt mellom den felles sentrale plattformen og CBAM-registeret.</w:t>
      </w:r>
    </w:p>
    <w:p w14:paraId="77948963" w14:textId="77777777" w:rsidR="005D314E" w:rsidRPr="00576C3D" w:rsidRDefault="005D314E" w:rsidP="00576C3D">
      <w:pPr>
        <w:pStyle w:val="friliste"/>
      </w:pPr>
      <w:r w:rsidRPr="00576C3D">
        <w:t>61)</w:t>
      </w:r>
      <w:r w:rsidRPr="00576C3D">
        <w:tab/>
        <w:t>For å bidra til en effektiv gjennomføring av denne forordningen bør Kommisjonen utføre risikobaserte kontroller og revidere innholdet i CBAM-erklæringene i samsvar med disse.</w:t>
      </w:r>
    </w:p>
    <w:p w14:paraId="18678E6F" w14:textId="77777777" w:rsidR="005D314E" w:rsidRPr="00576C3D" w:rsidRDefault="005D314E" w:rsidP="00576C3D">
      <w:pPr>
        <w:pStyle w:val="friliste"/>
      </w:pPr>
      <w:r w:rsidRPr="00576C3D">
        <w:t>62)</w:t>
      </w:r>
      <w:r w:rsidRPr="00576C3D">
        <w:tab/>
        <w:t xml:space="preserve">For ytterligere å muliggjøre en ensartet </w:t>
      </w:r>
      <w:proofErr w:type="gramStart"/>
      <w:r w:rsidRPr="00576C3D">
        <w:t>anvendelse</w:t>
      </w:r>
      <w:proofErr w:type="gramEnd"/>
      <w:r w:rsidRPr="00576C3D">
        <w:t xml:space="preserve"> av denne forordningen bør Kommisjonen som et foreløpig grunnlag stille til rådighet for vedkommende myndigheter sine egne beregninger </w:t>
      </w:r>
      <w:proofErr w:type="gramStart"/>
      <w:r w:rsidRPr="00576C3D">
        <w:t>vedrørende</w:t>
      </w:r>
      <w:proofErr w:type="gramEnd"/>
      <w:r w:rsidRPr="00576C3D">
        <w:t xml:space="preserve"> CBAM-sertifikatene som skal innleveres, på grunnlag av sin gjennomgang av CBAM-erklæringene. Slike foreløpige grunnlag bør kun gis til veiledende formål og uten at det berører den endelige beregningen som skal foretas av vedkommende myndighet. Særlig bør det ikke være mulig å klage på eller treffe andre utbedringstiltak mot slike foreløpige innspill fra Kommisjonen.</w:t>
      </w:r>
    </w:p>
    <w:p w14:paraId="57CFE85A" w14:textId="77777777" w:rsidR="005D314E" w:rsidRPr="00576C3D" w:rsidRDefault="005D314E" w:rsidP="00576C3D">
      <w:pPr>
        <w:pStyle w:val="friliste"/>
      </w:pPr>
      <w:r w:rsidRPr="00576C3D">
        <w:t>63)</w:t>
      </w:r>
      <w:r w:rsidRPr="00576C3D">
        <w:tab/>
        <w:t>Medlemsstatene bør også kunne gjennomføre revisjoner av individuelle CBAM-erklæringer med henblikk på håndhevelse. Konklusjonen etter revisjonene av individuelle CBAM-erklæringer bør deles med Kommisjonen. Disse konklusjonene bør også gjøres tilgjengelige for andre vedkommende myndigheter via CBAM-registeret.</w:t>
      </w:r>
    </w:p>
    <w:p w14:paraId="5E11AF18" w14:textId="77777777" w:rsidR="005D314E" w:rsidRPr="00576C3D" w:rsidRDefault="005D314E" w:rsidP="00576C3D">
      <w:pPr>
        <w:pStyle w:val="friliste"/>
      </w:pPr>
      <w:r w:rsidRPr="00576C3D">
        <w:t>64)</w:t>
      </w:r>
      <w:r w:rsidRPr="00576C3D">
        <w:tab/>
        <w:t xml:space="preserve">Medlemsstatene bør ha ansvar for korrekt fastsettelse og innkreving av inntekter fra </w:t>
      </w:r>
      <w:proofErr w:type="gramStart"/>
      <w:r w:rsidRPr="00576C3D">
        <w:t>anvendelsen</w:t>
      </w:r>
      <w:proofErr w:type="gramEnd"/>
      <w:r w:rsidRPr="00576C3D">
        <w:t xml:space="preserve"> av denne forordningen.</w:t>
      </w:r>
    </w:p>
    <w:p w14:paraId="677702DC" w14:textId="77777777" w:rsidR="005D314E" w:rsidRPr="00576C3D" w:rsidRDefault="005D314E" w:rsidP="00576C3D">
      <w:pPr>
        <w:pStyle w:val="friliste"/>
      </w:pPr>
      <w:r w:rsidRPr="00576C3D">
        <w:t>65)</w:t>
      </w:r>
      <w:r w:rsidRPr="00576C3D">
        <w:tab/>
        <w:t xml:space="preserve">Kommisjonen bør regelmessig vurdere </w:t>
      </w:r>
      <w:proofErr w:type="gramStart"/>
      <w:r w:rsidRPr="00576C3D">
        <w:t>anvendelsen</w:t>
      </w:r>
      <w:proofErr w:type="gramEnd"/>
      <w:r w:rsidRPr="00576C3D">
        <w:t xml:space="preserve"> av denne forordningen og framlegge en rapport for Europaparlamentet og Rådet. Disse rapportene bør særlig </w:t>
      </w:r>
      <w:proofErr w:type="gramStart"/>
      <w:r w:rsidRPr="00576C3D">
        <w:t>fokusere</w:t>
      </w:r>
      <w:proofErr w:type="gramEnd"/>
      <w:r w:rsidRPr="00576C3D">
        <w:t xml:space="preserve"> på muligheter for å styrke klimatiltakene for å nå målet om en klimanøytral union senest i 2050. Kommisjonen bør som en del av denne rapporteringen innhente de opplysningene som er nødvendige for å utvide denne forordningens virkeområde ytterligere til å omfatte innbakte indirekte utslipp fra varene oppført i vedlegg II så snart som mulig, samt andre varer og tjenester som kan være utsatt for risiko for karbonlekkasje, slik som </w:t>
      </w:r>
      <w:proofErr w:type="spellStart"/>
      <w:r w:rsidRPr="00576C3D">
        <w:t>nedstrømsprodukter</w:t>
      </w:r>
      <w:proofErr w:type="spellEnd"/>
      <w:r w:rsidRPr="00576C3D">
        <w:t>, og for å utvikle metoder for beregning av innbakte utslipp basert på metodene for miljøavtrykk, som fastsatt i kommisjonsrekommandasjon 2013/179/EU</w:t>
      </w:r>
      <w:r w:rsidRPr="00576C3D">
        <w:rPr>
          <w:rStyle w:val="Fotnotereferanse"/>
        </w:rPr>
        <w:footnoteReference w:id="16"/>
      </w:r>
      <w:r w:rsidRPr="00576C3D">
        <w:t xml:space="preserve">. Disse rapportene bør også inneholde en vurdering av </w:t>
      </w:r>
      <w:proofErr w:type="spellStart"/>
      <w:r w:rsidRPr="00576C3D">
        <w:t>CBAMs</w:t>
      </w:r>
      <w:proofErr w:type="spellEnd"/>
      <w:r w:rsidRPr="00576C3D">
        <w:t xml:space="preserve"> innvirkning på karbonlekkasje, herunder i forbindelse med eksport, og mekanismens økonomiske, sosiale og territoriale innvirkning i hele Unionen, idet det også tas hensyn til de særlige kjennetegnene og begrensningene for de mest fjerntliggende regionene omhandlet i artikkel 349 i TEUV og for øystater som inngår i Unionens tollområde.</w:t>
      </w:r>
    </w:p>
    <w:p w14:paraId="5BB59547" w14:textId="77777777" w:rsidR="005D314E" w:rsidRPr="00576C3D" w:rsidRDefault="005D314E" w:rsidP="00576C3D">
      <w:pPr>
        <w:pStyle w:val="friliste"/>
      </w:pPr>
      <w:r w:rsidRPr="00576C3D">
        <w:t>66)</w:t>
      </w:r>
      <w:r w:rsidRPr="00576C3D">
        <w:tab/>
        <w:t>Framgangsmåter for å omgå denne forordningen bør overvåkes og behandles av Kommisjonen, herunder når operatører kan foreta små endringer av varene sine uten å endre de vesentlige egenskapene, eller ved kunstig oppdeling av forsendelsene, for å unngå forpliktelsene i henhold til denne forordningen. Videre bør det holdes oppsyn med situasjoner der varer blir sendt til et tredjeland eller en region før de importeres til unionsmarkedet, med det formål å unngå forpliktelsene i henhold til denne forordningen, eller der operatører i tredjeland vil eksportere sine mindre klimagassintensive produkter til Unionen og beholde sine mer klimagassintensive produkter på andre markeder, eller der eksportører eller produsenter omorganiserer sine salgsmønstre og -kanaler, eller andre former for parallell produksjon og parallell salgspraksis, med det formål å unngå forpliktelsene i henhold til denne forordningen.</w:t>
      </w:r>
    </w:p>
    <w:p w14:paraId="602C9916" w14:textId="77777777" w:rsidR="005D314E" w:rsidRPr="00576C3D" w:rsidRDefault="005D314E" w:rsidP="00576C3D">
      <w:pPr>
        <w:pStyle w:val="friliste"/>
      </w:pPr>
      <w:r w:rsidRPr="00576C3D">
        <w:t>67)</w:t>
      </w:r>
      <w:r w:rsidRPr="00576C3D">
        <w:tab/>
        <w:t xml:space="preserve">Under full overholdelse av prinsippene fastsatt i denne forordningen bør arbeidet med å utvide virkeområdet for denne forordningen ha som mål at alle sektorene som omfattes av direktiv 2003/87/EF, skal være inkludert innen 2030. Når Kommisjonen gjennomgår og evaluerer </w:t>
      </w:r>
      <w:proofErr w:type="gramStart"/>
      <w:r w:rsidRPr="00576C3D">
        <w:t>anvendelsen</w:t>
      </w:r>
      <w:proofErr w:type="gramEnd"/>
      <w:r w:rsidRPr="00576C3D">
        <w:t xml:space="preserve"> av denne forordningen, bør den derfor opprettholde en henvisning til denne tidslinjen og prioritere å innlemme i denne forordningens virkeområde klimagassutslipp innbakt i de varene som er mest utsatt for karbonlekkasje og mest karbonintensive, samt i </w:t>
      </w:r>
      <w:proofErr w:type="spellStart"/>
      <w:r w:rsidRPr="00576C3D">
        <w:t>nedstrømsprodukter</w:t>
      </w:r>
      <w:proofErr w:type="spellEnd"/>
      <w:r w:rsidRPr="00576C3D">
        <w:t xml:space="preserve"> som inneholder en betydelig andel av minst én av varene som omfattes av denne forordningens virkeområde. Dersom Kommisjonen ikke framlegger et forslag til regelverk for en slik utvidelse av denne forordningens virkeområde innen 2030, bør den underrette Europaparlamentet og Rådet om årsakene til dette og treffe de nødvendige tiltak for å nå målet om så snart som mulig å inkludere alle sektorene som omfattes av direktiv 2003/87/EF.</w:t>
      </w:r>
    </w:p>
    <w:p w14:paraId="29F9C818" w14:textId="77777777" w:rsidR="005D314E" w:rsidRPr="00576C3D" w:rsidRDefault="005D314E" w:rsidP="00576C3D">
      <w:pPr>
        <w:pStyle w:val="friliste"/>
      </w:pPr>
      <w:r w:rsidRPr="00576C3D">
        <w:t>68)</w:t>
      </w:r>
      <w:r w:rsidRPr="00576C3D">
        <w:tab/>
        <w:t xml:space="preserve">Kommisjonen bør også framlegge for Europaparlamentet og Rådet en rapport om </w:t>
      </w:r>
      <w:proofErr w:type="gramStart"/>
      <w:r w:rsidRPr="00576C3D">
        <w:t>anvendelsen</w:t>
      </w:r>
      <w:proofErr w:type="gramEnd"/>
      <w:r w:rsidRPr="00576C3D">
        <w:t xml:space="preserve"> av denne forordningen to år etter utløpet av overgangsperioden, og deretter annethvert år. Tidspunktet for innlevering av rapportene bør følge tidsplanene for karbonmarkedets funksjon i henhold til artikkel 10 nr. 5 i direktiv 2003/87/EF. Rapportene bør inneholde en vurdering av virkningene av CBAM.</w:t>
      </w:r>
    </w:p>
    <w:p w14:paraId="6E7E1828" w14:textId="77777777" w:rsidR="005D314E" w:rsidRPr="00576C3D" w:rsidRDefault="005D314E" w:rsidP="00576C3D">
      <w:pPr>
        <w:pStyle w:val="friliste"/>
      </w:pPr>
      <w:r w:rsidRPr="00576C3D">
        <w:t>69)</w:t>
      </w:r>
      <w:r w:rsidRPr="00576C3D">
        <w:tab/>
        <w:t>For å muliggjøre en rask og effektiv reaksjon på uforutsette, ekstraordinære og uprovoserte omstendigheter som har ødeleggende konsekvenser for den økonomiske og industrielle infrastrukturen i ett eller flere tredjeland som er underlagt CBAM, bør Kommisjonen dersom det er relevant legge fram for Europaparlamentet og Rådet et forslag til regelverk om endring av denne forordningen. Et slikt forslag til regelverk bør fastsette de tiltakene som er mest hensiktsmessige i lys av de omstendighetene tredjelandet eller tredjelandene står overfor, samtidig som målene for denne forordningen opprettholdes. Disse tiltakene bør være tidsbegrenset.</w:t>
      </w:r>
    </w:p>
    <w:p w14:paraId="7671B5C2" w14:textId="77777777" w:rsidR="005D314E" w:rsidRPr="00576C3D" w:rsidRDefault="005D314E" w:rsidP="00576C3D">
      <w:pPr>
        <w:pStyle w:val="friliste"/>
      </w:pPr>
      <w:r w:rsidRPr="00576C3D">
        <w:t>70)</w:t>
      </w:r>
      <w:r w:rsidRPr="00576C3D">
        <w:tab/>
        <w:t>En dialog med tredjeland bør fortsette, og det bør være rom for samarbeid og løsninger som kan danne grunnlag for de spesifikke valgene som skal gjøres med hensyn til detaljene i CBAM under gjennomføringen, særlig i overgangsperioden.</w:t>
      </w:r>
    </w:p>
    <w:p w14:paraId="0356BDCE" w14:textId="77777777" w:rsidR="005D314E" w:rsidRPr="00576C3D" w:rsidRDefault="005D314E" w:rsidP="00576C3D">
      <w:pPr>
        <w:pStyle w:val="friliste"/>
      </w:pPr>
      <w:r w:rsidRPr="00576C3D">
        <w:t>71)</w:t>
      </w:r>
      <w:r w:rsidRPr="00576C3D">
        <w:tab/>
        <w:t xml:space="preserve">Kommisjonen bør bestrebe seg på å engasjere seg på en upartisk måte og i samsvar med Unionens internasjonale forpliktelser overfor tredjelandene som får sin handel med Unionen påvirket av denne forordningen, for å undersøke muligheten for dialog og samarbeid om gjennomføringen av bestemte elementer i CBAM. Kommisjonen bør også undersøke muligheten for å inngå avtaler som tar hensyn til karbonprisingsmekanismer i tredjeland. Unionen bør med henblikk på dette yte teknisk bistand til utviklingsland og til de minst utviklede landene (MUL) som identifisert av De forente </w:t>
      </w:r>
      <w:proofErr w:type="gramStart"/>
      <w:r w:rsidRPr="00576C3D">
        <w:t>nasjoner .</w:t>
      </w:r>
      <w:proofErr w:type="gramEnd"/>
    </w:p>
    <w:p w14:paraId="31BC31B9" w14:textId="77777777" w:rsidR="005D314E" w:rsidRPr="00576C3D" w:rsidRDefault="005D314E" w:rsidP="00576C3D">
      <w:pPr>
        <w:pStyle w:val="friliste"/>
      </w:pPr>
      <w:r w:rsidRPr="00576C3D">
        <w:t>72)</w:t>
      </w:r>
      <w:r w:rsidRPr="00576C3D">
        <w:tab/>
        <w:t>Opprettelsen av CBAM krever at det utvikles bilateralt, multilateralt og internasjonalt samarbeid med tredjeland. For dette formålet bør det opprettes et forum for land med karbonprisingsordninger eller andre sammenlignbare ordninger (en «klimaklubb») for å fremme gjennomføringen av ambisiøs klimapolitikk i alle land og bane vei for et globalt rammeverk for karbonprising. Klimaklubben bør være åpen, frivillig, ikke-eksklusiv og særlig rettet mot å sikte mot høye klimaambisjoner i samsvar med Parisavtalen. Klimaklubben kan fungere i regi av en multilateral internasjonal organisasjon og bør legge til rette for sammenligning og eventuelt samordning av relevante tiltak som påvirker utslippsreduksjon. Klimaklubben bør også fremme sammenlignbarheten av relevante klimatiltak ved å sikre kvaliteten på klimaovervåking, -rapportering og -verifisering blant medlemmene og stille midler til rådighet for engasjement og åpenhet mellom Unionen og dens handelspartnere.</w:t>
      </w:r>
    </w:p>
    <w:p w14:paraId="1BCC4E4A" w14:textId="77777777" w:rsidR="005D314E" w:rsidRPr="00576C3D" w:rsidRDefault="005D314E" w:rsidP="00576C3D">
      <w:pPr>
        <w:pStyle w:val="friliste"/>
      </w:pPr>
      <w:r w:rsidRPr="00576C3D">
        <w:t>73)</w:t>
      </w:r>
      <w:r w:rsidRPr="00576C3D">
        <w:tab/>
        <w:t>For ytterligere å støtte oppnåelsen av målene i Parisavtalen i tredjeland, er det ønskelig at Unionen fortsetter å yte økonomisk støtte gjennom unionsbudsjettet til klimatiltak og klimatilpasning i de minst utviklede landene, herunder i deres innsats for avkarbonisering og for omstilling av produksjonsindustrier. Denne unionsstøtten bør også bidra til å gjøre det enklere for de berørte næringene å tilpasse seg til de nye regelverkskravene som følger av denne forordningen.</w:t>
      </w:r>
    </w:p>
    <w:p w14:paraId="07E43CAF" w14:textId="77777777" w:rsidR="005D314E" w:rsidRPr="00576C3D" w:rsidRDefault="005D314E" w:rsidP="00576C3D">
      <w:pPr>
        <w:pStyle w:val="friliste"/>
      </w:pPr>
      <w:r w:rsidRPr="00576C3D">
        <w:t>74)</w:t>
      </w:r>
      <w:r w:rsidRPr="00576C3D">
        <w:tab/>
        <w:t xml:space="preserve">Ettersom CBAM har som mål å fremme renere produksjon, er Unionen forpliktet til å samarbeide med og støtte tredjeland med lav til middels inntekt for at de skal </w:t>
      </w:r>
      <w:proofErr w:type="spellStart"/>
      <w:r w:rsidRPr="00576C3D">
        <w:t>avkarbonisere</w:t>
      </w:r>
      <w:proofErr w:type="spellEnd"/>
      <w:r w:rsidRPr="00576C3D">
        <w:t xml:space="preserve"> sin produksjonsindustri som en del av den eksterne dimensjonen av EUs grønne giv og i samsvar med Parisavtalen. Unionen bør fortsette å støtte disse landene gjennom unionsbudsjettet, særlig de minst utviklede landene, for å bidra til å sikre at de tilpasser seg forpliktelsene i henhold til denne forordningen. Unionen bør også fortsette å støtte klimatiltak og klimatilpasning i disse landene, herunder i deres innsats for avkarbonisering og for omstilling av produksjonsindustrier, innenfor taket for den flerårige finansielle rammen og den økonomiske støtten fra Unionen til internasjonal klimafinansiering. Unionen arbeider for å innføre nye egne midler basert på inntektene fra salg av CBAM-sertifikater.</w:t>
      </w:r>
    </w:p>
    <w:p w14:paraId="59F8CA35" w14:textId="77777777" w:rsidR="005D314E" w:rsidRPr="00576C3D" w:rsidRDefault="005D314E" w:rsidP="00576C3D">
      <w:pPr>
        <w:pStyle w:val="friliste"/>
      </w:pPr>
      <w:r w:rsidRPr="00576C3D">
        <w:t>75)</w:t>
      </w:r>
      <w:r w:rsidRPr="00576C3D">
        <w:tab/>
        <w:t>Denne forordningen berører ikke europaparlaments- og rådsforordning (EU) 2016/679</w:t>
      </w:r>
      <w:r w:rsidRPr="00576C3D">
        <w:rPr>
          <w:rStyle w:val="Fotnotereferanse"/>
        </w:rPr>
        <w:footnoteReference w:id="17"/>
      </w:r>
      <w:r w:rsidRPr="00576C3D">
        <w:t xml:space="preserve"> og 2018/1725</w:t>
      </w:r>
      <w:r w:rsidRPr="00576C3D">
        <w:rPr>
          <w:rStyle w:val="Fotnotereferanse"/>
        </w:rPr>
        <w:footnoteReference w:id="18"/>
      </w:r>
      <w:r w:rsidRPr="00576C3D">
        <w:t>.</w:t>
      </w:r>
    </w:p>
    <w:p w14:paraId="38723BC8" w14:textId="77777777" w:rsidR="005D314E" w:rsidRPr="00576C3D" w:rsidRDefault="005D314E" w:rsidP="00576C3D">
      <w:pPr>
        <w:pStyle w:val="friliste"/>
      </w:pPr>
      <w:r w:rsidRPr="00576C3D">
        <w:t>76)</w:t>
      </w:r>
      <w:r w:rsidRPr="00576C3D">
        <w:tab/>
        <w:t>Av effektivitetshensyn bør rådsforordning (EF) nr. 515/97</w:t>
      </w:r>
      <w:r w:rsidRPr="00576C3D">
        <w:rPr>
          <w:rStyle w:val="Fotnotereferanse"/>
        </w:rPr>
        <w:footnoteReference w:id="19"/>
      </w:r>
      <w:r w:rsidRPr="00576C3D">
        <w:t xml:space="preserve"> gjelde tilsvarende med nødvendige endringer på denne forordningen.</w:t>
      </w:r>
    </w:p>
    <w:p w14:paraId="116C2A0C" w14:textId="77777777" w:rsidR="005D314E" w:rsidRPr="00576C3D" w:rsidRDefault="005D314E" w:rsidP="00576C3D">
      <w:pPr>
        <w:pStyle w:val="friliste"/>
      </w:pPr>
      <w:r w:rsidRPr="00576C3D">
        <w:t>77)</w:t>
      </w:r>
      <w:r w:rsidRPr="00576C3D">
        <w:tab/>
        <w:t>For å utfylle eller endre visse ikke-grunnleggende bestemmelser i denne forordningen bør myndigheten til å vedta rettsakter delegeres til Kommisjonen i samsvar med artikkel 290 TEUV når det gjelder</w:t>
      </w:r>
    </w:p>
    <w:p w14:paraId="7D95BF49" w14:textId="77777777" w:rsidR="005D314E" w:rsidRPr="00576C3D" w:rsidRDefault="005D314E" w:rsidP="00576C3D">
      <w:pPr>
        <w:pStyle w:val="friliste2"/>
      </w:pPr>
      <w:r w:rsidRPr="00576C3D">
        <w:t>–</w:t>
      </w:r>
      <w:r w:rsidRPr="00576C3D">
        <w:tab/>
        <w:t>utfylling av denne forordningen ved å fastsette krav og framgangsmåter for tredjeland eller territorier som er fjernet fra listen i vedlegg III nr. 2, for å sikre at denne forordningen anvendes på disse landene eller territoriene med hensyn til elektrisitet,</w:t>
      </w:r>
    </w:p>
    <w:p w14:paraId="74D844CF" w14:textId="77777777" w:rsidR="005D314E" w:rsidRPr="00576C3D" w:rsidRDefault="005D314E" w:rsidP="00576C3D">
      <w:pPr>
        <w:pStyle w:val="friliste2"/>
      </w:pPr>
      <w:r w:rsidRPr="00576C3D">
        <w:t>–</w:t>
      </w:r>
      <w:r w:rsidRPr="00576C3D">
        <w:tab/>
        <w:t xml:space="preserve">endring av listen over tredjeland og territorier oppført i vedlegg III nr. 1 eller 2, enten ved å legge til disse landene eller territoriene på listen, for å utelukke fra CBAM de tredjelandene eller territoriene som er fullt </w:t>
      </w:r>
      <w:proofErr w:type="gramStart"/>
      <w:r w:rsidRPr="00576C3D">
        <w:t>integrert</w:t>
      </w:r>
      <w:proofErr w:type="gramEnd"/>
      <w:r w:rsidRPr="00576C3D">
        <w:t xml:space="preserve"> i eller knyttet til EU ETS ved framtidige avtaler, eller ved å fjerne tredjeland eller territorier fra listen, og dermed underlegge dem CBAM, dersom de ikke faktisk benytter EU ETS-prisen på varer som eksporteres til Unionen,</w:t>
      </w:r>
    </w:p>
    <w:p w14:paraId="27D4AB9E" w14:textId="77777777" w:rsidR="005D314E" w:rsidRPr="00576C3D" w:rsidRDefault="005D314E" w:rsidP="00576C3D">
      <w:pPr>
        <w:pStyle w:val="friliste2"/>
      </w:pPr>
      <w:r w:rsidRPr="00576C3D">
        <w:t>–</w:t>
      </w:r>
      <w:r w:rsidRPr="00576C3D">
        <w:tab/>
        <w:t xml:space="preserve">utfylling av denne forordningen ved å spesifisere vilkårene for å gi akkreditering til </w:t>
      </w:r>
      <w:proofErr w:type="spellStart"/>
      <w:r w:rsidRPr="00576C3D">
        <w:t>verifikatører</w:t>
      </w:r>
      <w:proofErr w:type="spellEnd"/>
      <w:r w:rsidRPr="00576C3D">
        <w:t xml:space="preserve">, kontroll og tilsyn med akkrediterte </w:t>
      </w:r>
      <w:proofErr w:type="spellStart"/>
      <w:r w:rsidRPr="00576C3D">
        <w:t>verifikatører</w:t>
      </w:r>
      <w:proofErr w:type="spellEnd"/>
      <w:r w:rsidRPr="00576C3D">
        <w:t>, tilbaketrekking av akkreditering samt gjensidig anerkjennelse og fagfellevurdering av akkrediteringsorganer,</w:t>
      </w:r>
    </w:p>
    <w:p w14:paraId="24C88DF6" w14:textId="77777777" w:rsidR="005D314E" w:rsidRPr="00576C3D" w:rsidRDefault="005D314E" w:rsidP="00576C3D">
      <w:pPr>
        <w:pStyle w:val="friliste2"/>
      </w:pPr>
      <w:r w:rsidRPr="00576C3D">
        <w:t>–</w:t>
      </w:r>
      <w:r w:rsidRPr="00576C3D">
        <w:tab/>
        <w:t>utfylling av denne forordningen ved nærmere å definere tidsskjema, administrasjon og andre sider ved salg og tilbakekjøp av CBAM-sertifikater, og</w:t>
      </w:r>
    </w:p>
    <w:p w14:paraId="3CFAEDBC" w14:textId="77777777" w:rsidR="005D314E" w:rsidRPr="00576C3D" w:rsidRDefault="005D314E" w:rsidP="00576C3D">
      <w:pPr>
        <w:pStyle w:val="friliste2"/>
      </w:pPr>
      <w:r w:rsidRPr="00576C3D">
        <w:t>–</w:t>
      </w:r>
      <w:r w:rsidRPr="00576C3D">
        <w:tab/>
        <w:t>endring av listen over varer i vedlegg I ved under visse omstendigheter å legge til varer som er endret noe, for å styrke tiltak som retter seg mot omgåelse.</w:t>
      </w:r>
    </w:p>
    <w:p w14:paraId="017F1733" w14:textId="77777777" w:rsidR="005D314E" w:rsidRPr="00576C3D" w:rsidRDefault="005D314E" w:rsidP="00576C3D">
      <w:pPr>
        <w:pStyle w:val="Listeavsnitt"/>
      </w:pPr>
      <w:r w:rsidRPr="00576C3D">
        <w:t>Det er særlig viktig at Kommisjonen holder hensiktsmessige samråd under sitt forberedende arbeid, herunder på ekspertnivå, og at slike samråd gjennomføres i samsvar med prinsippene fastsatt i den tverrinstitusjonelle avtalen av 13. april 2016 om bedre regelverksutforming</w:t>
      </w:r>
      <w:r w:rsidRPr="00576C3D">
        <w:rPr>
          <w:rStyle w:val="Fotnotereferanse"/>
        </w:rPr>
        <w:footnoteReference w:id="20"/>
      </w:r>
      <w:r w:rsidRPr="00576C3D">
        <w:t>. For å sikre lik deltakelse i forberedelsen av delegerte rettsakter er det også viktig at Europaparlamentet og Rådet mottar alle dokumenter samtidig som medlemsstatenes sakkyndige, og at deres sakkyndige gis systematisk adgang til møter i Kommisjonens ekspertgrupper som omhandler forberedelsen av delegerte rettsakter.</w:t>
      </w:r>
    </w:p>
    <w:p w14:paraId="03A9A119" w14:textId="77777777" w:rsidR="005D314E" w:rsidRPr="00576C3D" w:rsidRDefault="005D314E" w:rsidP="00576C3D">
      <w:pPr>
        <w:pStyle w:val="friliste"/>
      </w:pPr>
      <w:r w:rsidRPr="00576C3D">
        <w:t>78)</w:t>
      </w:r>
      <w:r w:rsidRPr="00576C3D">
        <w:tab/>
        <w:t>Slike samråd bør gjennomføres på en åpen måte og kan omfatte forutgående samråd med berørte parter, for eksempel kompetente organer, næringslivet (herunder små og mellomstore bedrifter), partene i arbeidslivet, for eksempel fagforeninger, sivilsamfunnsorganisasjoner og miljøorganisasjoner.</w:t>
      </w:r>
    </w:p>
    <w:p w14:paraId="1D95FDF3" w14:textId="77777777" w:rsidR="005D314E" w:rsidRPr="00576C3D" w:rsidRDefault="005D314E" w:rsidP="00576C3D">
      <w:pPr>
        <w:pStyle w:val="friliste"/>
      </w:pPr>
      <w:r w:rsidRPr="00576C3D">
        <w:t>79)</w:t>
      </w:r>
      <w:r w:rsidRPr="00576C3D">
        <w:tab/>
        <w:t>For å sikre ensartede vilkår for gjennomføringen av denne forordningen bør Kommisjonen gis gjennomføringsmyndighet. Denne myndigheten bør utøves i samsvar med europaparlaments- og rådsforordning (EU) nr. 182/2011</w:t>
      </w:r>
      <w:r w:rsidRPr="00576C3D">
        <w:rPr>
          <w:rStyle w:val="Fotnotereferanse"/>
        </w:rPr>
        <w:footnoteReference w:id="21"/>
      </w:r>
      <w:r w:rsidRPr="00576C3D">
        <w:t>.</w:t>
      </w:r>
    </w:p>
    <w:p w14:paraId="1E3C054A" w14:textId="77777777" w:rsidR="005D314E" w:rsidRPr="00576C3D" w:rsidRDefault="005D314E" w:rsidP="00576C3D">
      <w:pPr>
        <w:pStyle w:val="friliste"/>
      </w:pPr>
      <w:r w:rsidRPr="00576C3D">
        <w:t>80)</w:t>
      </w:r>
      <w:r w:rsidRPr="00576C3D">
        <w:tab/>
        <w:t xml:space="preserve">Unionens økonomiske interesser bør vernes gjennom forholdsmessige tiltak gjennom hele </w:t>
      </w:r>
      <w:proofErr w:type="spellStart"/>
      <w:r w:rsidRPr="00576C3D">
        <w:t>utgiftssyklusen</w:t>
      </w:r>
      <w:proofErr w:type="spellEnd"/>
      <w:r w:rsidRPr="00576C3D">
        <w:t>, herunder forebygging, avdekking og etterforskning av uregelmessigheter, inndrivelse av tapte, urettmessig utbetalte eller feilaktig anvendte midler og eventuelt administrative og økonomiske sanksjoner. CBAM bør derfor basere seg på egnede og effektive mekanismer for å unngå tap av inntekter.</w:t>
      </w:r>
    </w:p>
    <w:p w14:paraId="7FA3B04C" w14:textId="77777777" w:rsidR="005D314E" w:rsidRPr="00576C3D" w:rsidRDefault="005D314E" w:rsidP="00576C3D">
      <w:pPr>
        <w:pStyle w:val="friliste"/>
      </w:pPr>
      <w:r w:rsidRPr="00576C3D">
        <w:t>81)</w:t>
      </w:r>
      <w:r w:rsidRPr="00576C3D">
        <w:tab/>
        <w:t>Ettersom målene for denne forordningen, som er å hindre risikoen for karbonlekkasje og dermed redusere de globale karbonutslippene, ikke kan nås i tilstrekkelig grad av medlemsstatene og derfor på grunn av tiltakets omfang og virkninger bedre kan nås på unionsplan, kan Unionen treffe tiltak i samsvar med nærhetsprinsippet som fastsatt i artikkel 5 i traktaten om Den europeiske union. I samsvar med forholdsmessighetsprinsippet fastsatt i nevnte artikkel går denne forordningen ikke lenger enn det som er nødvendig for å nå disse målene.</w:t>
      </w:r>
    </w:p>
    <w:p w14:paraId="45AF55F2" w14:textId="77777777" w:rsidR="005D314E" w:rsidRPr="00576C3D" w:rsidRDefault="005D314E" w:rsidP="00576C3D">
      <w:pPr>
        <w:pStyle w:val="friliste"/>
      </w:pPr>
      <w:r w:rsidRPr="00576C3D">
        <w:t>82)</w:t>
      </w:r>
      <w:r w:rsidRPr="00576C3D">
        <w:tab/>
        <w:t xml:space="preserve">For å sikre at delegerte rettsakter og gjennomføringsrettsakter i henhold til denne forordningen skal kunne vedtas rettidig, bør denne forordningen tre i kraft dagen etter at den er kunngjort i </w:t>
      </w:r>
      <w:r w:rsidRPr="00576C3D">
        <w:rPr>
          <w:rStyle w:val="kursiv"/>
        </w:rPr>
        <w:t>Den europeiske unions tidende.</w:t>
      </w:r>
    </w:p>
    <w:p w14:paraId="5394070C" w14:textId="77777777" w:rsidR="00030018" w:rsidRDefault="00030018" w:rsidP="00576C3D"/>
    <w:p w14:paraId="72811095" w14:textId="4C4D7BD2" w:rsidR="005D314E" w:rsidRPr="00576C3D" w:rsidRDefault="005D314E" w:rsidP="00576C3D">
      <w:r w:rsidRPr="00576C3D">
        <w:t>VEDTATT DENNE FORORDNINGEN:</w:t>
      </w:r>
    </w:p>
    <w:p w14:paraId="5C662501" w14:textId="77777777" w:rsidR="005D314E" w:rsidRPr="00576C3D" w:rsidRDefault="005D314E" w:rsidP="00576C3D">
      <w:pPr>
        <w:pStyle w:val="avsnitt-undertittel"/>
      </w:pPr>
      <w:r w:rsidRPr="00576C3D">
        <w:t>Kapittel I</w:t>
      </w:r>
    </w:p>
    <w:p w14:paraId="55A68163" w14:textId="77777777" w:rsidR="005D314E" w:rsidRPr="00576C3D" w:rsidRDefault="005D314E" w:rsidP="00576C3D">
      <w:pPr>
        <w:pStyle w:val="Undertittel"/>
      </w:pPr>
      <w:r w:rsidRPr="00576C3D">
        <w:t>Formål, virkeområde og definisjoner</w:t>
      </w:r>
    </w:p>
    <w:p w14:paraId="6FBE8DA0" w14:textId="77777777" w:rsidR="005D314E" w:rsidRPr="00576C3D" w:rsidRDefault="005D314E" w:rsidP="00576C3D">
      <w:pPr>
        <w:pStyle w:val="avsnitt-undertittel"/>
      </w:pPr>
      <w:r w:rsidRPr="00576C3D">
        <w:t>Artikkel 1</w:t>
      </w:r>
    </w:p>
    <w:p w14:paraId="7C4C2B15" w14:textId="77777777" w:rsidR="005D314E" w:rsidRPr="00576C3D" w:rsidRDefault="005D314E" w:rsidP="00576C3D">
      <w:pPr>
        <w:pStyle w:val="Undertittel"/>
      </w:pPr>
      <w:r w:rsidRPr="00576C3D">
        <w:t>Formål</w:t>
      </w:r>
    </w:p>
    <w:p w14:paraId="111DBD7E" w14:textId="77777777" w:rsidR="005D314E" w:rsidRPr="00576C3D" w:rsidRDefault="005D314E" w:rsidP="00576C3D">
      <w:pPr>
        <w:pStyle w:val="friliste"/>
      </w:pPr>
      <w:r w:rsidRPr="00576C3D">
        <w:t>1.</w:t>
      </w:r>
      <w:r w:rsidRPr="00576C3D">
        <w:tab/>
        <w:t>Ved denne forordningen opprettes en ordning for justering av karbonpris for innførsel av varer (karbongrensejusteringsmekanismen, «CBAM») for å håndtere klimagassutslipp som stammer fra produksjon av varene oppført i vedlegg I ved import til Unionens tollområde, med henblikk på å forebygge risikoen for karbonlekkasje og dermed redusere de globale karbonutslippene og støtte målene i Parisavtalen, også ved å skape insentiver for reduksjon av utslipp fra operatører i tredjeland.</w:t>
      </w:r>
    </w:p>
    <w:p w14:paraId="3CFB3DCD" w14:textId="77777777" w:rsidR="005D314E" w:rsidRPr="00576C3D" w:rsidRDefault="005D314E" w:rsidP="00576C3D">
      <w:pPr>
        <w:pStyle w:val="friliste"/>
      </w:pPr>
      <w:r w:rsidRPr="00576C3D">
        <w:t>2.</w:t>
      </w:r>
      <w:r w:rsidRPr="00576C3D">
        <w:tab/>
        <w:t>CBAM supplerer ordningen for handel med kvoter for utslipp av klimagasser i Unionen opprettet i henhold til direktiv 2003/87/EF («EU ETS») ved å anvende et tilsvarende sett med regler for import til Unionens tollområde av varene nevnt i artikkel 2 i denne forordningen.</w:t>
      </w:r>
    </w:p>
    <w:p w14:paraId="0D7EAFB4" w14:textId="77777777" w:rsidR="005D314E" w:rsidRPr="00576C3D" w:rsidRDefault="005D314E" w:rsidP="00576C3D">
      <w:pPr>
        <w:pStyle w:val="friliste"/>
      </w:pPr>
      <w:r w:rsidRPr="00576C3D">
        <w:t>3.</w:t>
      </w:r>
      <w:r w:rsidRPr="00576C3D">
        <w:tab/>
        <w:t>CBAM skal erstatte mekanismene opprettet ved direktiv 2003/87/EF for å forebygge risikoen for karbonlekkasje, ved å gjenspeile i hvilken grad EU ETS-kvoter tildeles vederlagsfritt i samsvar med artikkel 10a i det nevnte direktivet.</w:t>
      </w:r>
    </w:p>
    <w:p w14:paraId="502731C7" w14:textId="77777777" w:rsidR="005D314E" w:rsidRPr="00576C3D" w:rsidRDefault="005D314E" w:rsidP="00576C3D">
      <w:pPr>
        <w:pStyle w:val="avsnitt-undertittel"/>
      </w:pPr>
      <w:r w:rsidRPr="00576C3D">
        <w:t>Artikkel 2</w:t>
      </w:r>
    </w:p>
    <w:p w14:paraId="0AAD91A3" w14:textId="77777777" w:rsidR="005D314E" w:rsidRPr="00576C3D" w:rsidRDefault="005D314E" w:rsidP="00576C3D">
      <w:pPr>
        <w:pStyle w:val="Undertittel"/>
      </w:pPr>
      <w:r w:rsidRPr="00576C3D">
        <w:t>Virkeområde</w:t>
      </w:r>
    </w:p>
    <w:p w14:paraId="3FB8D4BC" w14:textId="77777777" w:rsidR="005D314E" w:rsidRPr="00576C3D" w:rsidRDefault="005D314E" w:rsidP="00576C3D">
      <w:pPr>
        <w:pStyle w:val="friliste"/>
      </w:pPr>
      <w:r w:rsidRPr="00576C3D">
        <w:t>1.</w:t>
      </w:r>
      <w:r w:rsidRPr="00576C3D">
        <w:tab/>
        <w:t xml:space="preserve">Denne forordningen får </w:t>
      </w:r>
      <w:proofErr w:type="gramStart"/>
      <w:r w:rsidRPr="00576C3D">
        <w:t>anvendelse</w:t>
      </w:r>
      <w:proofErr w:type="gramEnd"/>
      <w:r w:rsidRPr="00576C3D">
        <w:t xml:space="preserve"> på varer oppført i vedlegg I med opprinnelse i et tredjeland når disse varene, eller bearbeidede produkter fra disse varene som er et resultat av prosedyren for innenlands bearbeiding nevnt i artikkel 256 i forordning (EU) nr. 952/2013, importeres til Unionens tollområde.</w:t>
      </w:r>
    </w:p>
    <w:p w14:paraId="30C604D1" w14:textId="77777777" w:rsidR="005D314E" w:rsidRPr="00576C3D" w:rsidRDefault="005D314E" w:rsidP="00576C3D">
      <w:pPr>
        <w:pStyle w:val="friliste"/>
      </w:pPr>
      <w:r w:rsidRPr="00576C3D">
        <w:t>2.</w:t>
      </w:r>
      <w:r w:rsidRPr="00576C3D">
        <w:tab/>
        <w:t>Denne forordningen får også anvendelse på varer oppført i vedlegg I til denne forordningen med opprinnelse i et tredjeland, der disse varene eller bearbeidede produkter fra disse varene som er et resultat av prosedyren for innenlands bearbeiding nevnt i artikkel 256 i forordning (EU) nr. 952/2013, føres til en kunstig øy, en fast eller flytende innretning eller enhver annen struktur på kontinentalsokkelen eller i den eksklusive økonomiske sonen i en medlemsstat som er tilstøtende til Unionens tollområde.</w:t>
      </w:r>
    </w:p>
    <w:p w14:paraId="37B39B92" w14:textId="77777777" w:rsidR="005D314E" w:rsidRPr="00576C3D" w:rsidRDefault="005D314E" w:rsidP="00576C3D">
      <w:pPr>
        <w:pStyle w:val="Listeavsnitt"/>
      </w:pPr>
      <w:r w:rsidRPr="00576C3D">
        <w:t xml:space="preserve">Kommisjonen skal vedta gjennomføringsrettsakter som fastsetter nærmere vilkår for </w:t>
      </w:r>
      <w:proofErr w:type="gramStart"/>
      <w:r w:rsidRPr="00576C3D">
        <w:t>anvendelsen</w:t>
      </w:r>
      <w:proofErr w:type="gramEnd"/>
      <w:r w:rsidRPr="00576C3D">
        <w:t xml:space="preserve"> av CBAM på slike varer, særlig med hensyn til begreper som tilsvarer begrepene import til Unionens tollområde og overgang til fri disponering, med hensyn til framgangsmåtene for innlevering av CBAM-erklæringen med hensyn til slike varer og kontrollene som skal utføres av tollmyndighetene. Disse gjennomføringsrettsaktene skal vedtas i samsvar med undersøkelsesprosedyren som det vises til i artikkel 29 nr. 2 i denne forordningen.</w:t>
      </w:r>
    </w:p>
    <w:p w14:paraId="0063FB1F" w14:textId="77777777" w:rsidR="005D314E" w:rsidRPr="00576C3D" w:rsidRDefault="005D314E" w:rsidP="00576C3D">
      <w:pPr>
        <w:pStyle w:val="friliste"/>
      </w:pPr>
      <w:r w:rsidRPr="00576C3D">
        <w:t>3.</w:t>
      </w:r>
      <w:r w:rsidRPr="00576C3D">
        <w:tab/>
        <w:t>Som unntak fra nr. 1 og 2 skal denne forordningen ikke gjelde for</w:t>
      </w:r>
    </w:p>
    <w:p w14:paraId="16A587E4" w14:textId="77777777" w:rsidR="005D314E" w:rsidRPr="00576C3D" w:rsidRDefault="005D314E" w:rsidP="00576C3D">
      <w:pPr>
        <w:pStyle w:val="friliste2"/>
      </w:pPr>
      <w:r w:rsidRPr="00576C3D">
        <w:t>a)</w:t>
      </w:r>
      <w:r w:rsidRPr="00576C3D">
        <w:tab/>
        <w:t>varer oppført i vedlegg I til denne forordningen som importeres til Unionens tollområde, forutsatt at egenverdien av slike varer per sending ikke overstiger den angitte verdien for varer med ubetydelig verdi som nevnt i artikkel 23 i rådsforordning (EF) nr. 1186/2009</w:t>
      </w:r>
      <w:r w:rsidRPr="00576C3D">
        <w:rPr>
          <w:rStyle w:val="Fotnotereferanse"/>
        </w:rPr>
        <w:footnoteReference w:id="22"/>
      </w:r>
      <w:r w:rsidRPr="00576C3D">
        <w:t>,</w:t>
      </w:r>
    </w:p>
    <w:p w14:paraId="675AEF13" w14:textId="77777777" w:rsidR="005D314E" w:rsidRPr="00576C3D" w:rsidRDefault="005D314E" w:rsidP="00576C3D">
      <w:pPr>
        <w:pStyle w:val="friliste2"/>
      </w:pPr>
      <w:r w:rsidRPr="00576C3D">
        <w:t>b)</w:t>
      </w:r>
      <w:r w:rsidRPr="00576C3D">
        <w:tab/>
        <w:t>varer i bagasjen til reisende som kommer fra tredjeland, forutsatt at egenverdien av slike varer ikke overstiger den angitte verdien for varer med ubetydelig verdi som nevnt i artikkel 23 i rådsforordning (EF) nr. 1186/2009,</w:t>
      </w:r>
    </w:p>
    <w:p w14:paraId="26928B6B" w14:textId="77777777" w:rsidR="005D314E" w:rsidRPr="00576C3D" w:rsidRDefault="005D314E" w:rsidP="00576C3D">
      <w:pPr>
        <w:pStyle w:val="friliste2"/>
      </w:pPr>
      <w:r w:rsidRPr="00576C3D">
        <w:t>c)</w:t>
      </w:r>
      <w:r w:rsidRPr="00576C3D">
        <w:tab/>
        <w:t>varer som skal flyttes eller brukes i forbindelse med militær virksomhet i henhold til artikkel 1 nr. 49 i delegert kommisjonsforordning (EU) 2015/2446</w:t>
      </w:r>
      <w:r w:rsidRPr="00576C3D">
        <w:rPr>
          <w:rStyle w:val="Fotnotereferanse"/>
        </w:rPr>
        <w:footnoteReference w:id="23"/>
      </w:r>
      <w:r w:rsidRPr="00576C3D">
        <w:t>.</w:t>
      </w:r>
    </w:p>
    <w:p w14:paraId="5EFB59EA" w14:textId="77777777" w:rsidR="005D314E" w:rsidRPr="00576C3D" w:rsidRDefault="005D314E" w:rsidP="00576C3D">
      <w:pPr>
        <w:pStyle w:val="friliste"/>
      </w:pPr>
      <w:r w:rsidRPr="00576C3D">
        <w:t>4.</w:t>
      </w:r>
      <w:r w:rsidRPr="00576C3D">
        <w:tab/>
        <w:t>Som unntak fra nr. 1 og 2 skal denne forordningen ikke gjelde for varer med opprinnelse i tredjeland og territorier oppført i nr. 1 i vedlegg III.</w:t>
      </w:r>
    </w:p>
    <w:p w14:paraId="6BB5623D" w14:textId="77777777" w:rsidR="005D314E" w:rsidRPr="00576C3D" w:rsidRDefault="005D314E" w:rsidP="00576C3D">
      <w:pPr>
        <w:pStyle w:val="friliste"/>
      </w:pPr>
      <w:r w:rsidRPr="00576C3D">
        <w:t>5.</w:t>
      </w:r>
      <w:r w:rsidRPr="00576C3D">
        <w:tab/>
        <w:t>Importerte varer skal anses å ha opprinnelse i tredjeland i samsvar med reglene for ikke-</w:t>
      </w:r>
      <w:proofErr w:type="spellStart"/>
      <w:r w:rsidRPr="00576C3D">
        <w:t>preferensiell</w:t>
      </w:r>
      <w:proofErr w:type="spellEnd"/>
      <w:r w:rsidRPr="00576C3D">
        <w:t xml:space="preserve"> opprinnelse nevnt i artikkel 59 i forordning (EU) nr. 952/2013.</w:t>
      </w:r>
    </w:p>
    <w:p w14:paraId="28869E25" w14:textId="77777777" w:rsidR="005D314E" w:rsidRPr="00576C3D" w:rsidRDefault="005D314E" w:rsidP="00576C3D">
      <w:pPr>
        <w:pStyle w:val="friliste"/>
      </w:pPr>
      <w:r w:rsidRPr="00576C3D">
        <w:t>6.</w:t>
      </w:r>
      <w:r w:rsidRPr="00576C3D">
        <w:tab/>
        <w:t>Tredjeland og territorier skal oppføres på listen i vedlegg III nr. 1 dersom de oppfyller alle følgende vilkår:</w:t>
      </w:r>
    </w:p>
    <w:p w14:paraId="4F6DBF24" w14:textId="77777777" w:rsidR="005D314E" w:rsidRPr="00576C3D" w:rsidRDefault="005D314E" w:rsidP="00576C3D">
      <w:pPr>
        <w:pStyle w:val="friliste2"/>
      </w:pPr>
      <w:r w:rsidRPr="00576C3D">
        <w:t>a)</w:t>
      </w:r>
      <w:r w:rsidRPr="00576C3D">
        <w:tab/>
        <w:t xml:space="preserve">EU ETS får </w:t>
      </w:r>
      <w:proofErr w:type="gramStart"/>
      <w:r w:rsidRPr="00576C3D">
        <w:t>anvendelse</w:t>
      </w:r>
      <w:proofErr w:type="gramEnd"/>
      <w:r w:rsidRPr="00576C3D">
        <w:t xml:space="preserve"> på nevnte tredjeland eller territorium, eller det er inngått en avtale mellom nevnte tredjeland eller territorium og Unionen som fullt ut knytter sammen EU ETS og kvotehandelssystemet i nevnte tredjeland eller territorium.</w:t>
      </w:r>
    </w:p>
    <w:p w14:paraId="404AAFC7" w14:textId="77777777" w:rsidR="005D314E" w:rsidRPr="00576C3D" w:rsidRDefault="005D314E" w:rsidP="00576C3D">
      <w:pPr>
        <w:pStyle w:val="friliste2"/>
      </w:pPr>
      <w:r w:rsidRPr="00576C3D">
        <w:t>b)</w:t>
      </w:r>
      <w:r w:rsidRPr="00576C3D">
        <w:tab/>
        <w:t>Karbonprisen som betales i landet der varene har sin opprinnelse, faktisk belastes klimagassutslippene som er innbakt i disse varene uten noen rabatter utover de som også gjelder i samsvar med EU ETS.</w:t>
      </w:r>
    </w:p>
    <w:p w14:paraId="0C464E1F" w14:textId="77777777" w:rsidR="005D314E" w:rsidRPr="00576C3D" w:rsidRDefault="005D314E" w:rsidP="00576C3D">
      <w:pPr>
        <w:pStyle w:val="friliste"/>
      </w:pPr>
      <w:r w:rsidRPr="00576C3D">
        <w:t>7.</w:t>
      </w:r>
      <w:r w:rsidRPr="00576C3D">
        <w:tab/>
        <w:t>Dersom et tredjeland eller territorium har et elektrisitetsmarked som er integrert med Unionens indre marked for elektrisitet gjennom markedskobling, og det ikke finnes noen teknisk løsning for anvendelsen av CBAM på import av elektrisitet til Unionens tollområde fra det nevnte tredjelandet eller territoriet, skal slik import av elektrisitet fra det nevnte tredjelandet eller territoriet unntas fra anvendelsen av CBAM, forutsatt at Kommisjonen har vurdert at alle følgende vilkår er oppfylt i samsvar med nr. 8:</w:t>
      </w:r>
    </w:p>
    <w:p w14:paraId="002FB32A" w14:textId="77777777" w:rsidR="005D314E" w:rsidRPr="00576C3D" w:rsidRDefault="005D314E" w:rsidP="00576C3D">
      <w:pPr>
        <w:pStyle w:val="friliste2"/>
      </w:pPr>
      <w:r w:rsidRPr="00576C3D">
        <w:t>a)</w:t>
      </w:r>
      <w:r w:rsidRPr="00576C3D">
        <w:tab/>
        <w:t>Tredjelandet eller territoriet har inngått en avtale med Unionen som fastsetter en forpliktelse til å anvende unionsretten på elektrisitetsområdet, herunder regelverket om utvikling av fornybare energikilder, samt øvrige regler på områdene energi, miljø og konkurranse.</w:t>
      </w:r>
    </w:p>
    <w:p w14:paraId="40F8F2B4" w14:textId="77777777" w:rsidR="005D314E" w:rsidRPr="00576C3D" w:rsidRDefault="005D314E" w:rsidP="00576C3D">
      <w:pPr>
        <w:pStyle w:val="friliste2"/>
      </w:pPr>
      <w:r w:rsidRPr="00576C3D">
        <w:t>b)</w:t>
      </w:r>
      <w:r w:rsidRPr="00576C3D">
        <w:tab/>
        <w:t>Den nasjonale lovgivningen i nevnte tredjeland eller territorium gjennomfører de viktigste bestemmelsene i Unionens regelverk for elektrisitetsmarkeder, herunder om utvikling av fornybare energikilder og markedskobling av elektrisitetsmarkeder.</w:t>
      </w:r>
    </w:p>
    <w:p w14:paraId="2983AFD2" w14:textId="77777777" w:rsidR="005D314E" w:rsidRPr="00576C3D" w:rsidRDefault="005D314E" w:rsidP="00576C3D">
      <w:pPr>
        <w:pStyle w:val="friliste2"/>
      </w:pPr>
      <w:r w:rsidRPr="00576C3D">
        <w:t>c)</w:t>
      </w:r>
      <w:r w:rsidRPr="00576C3D">
        <w:tab/>
        <w:t>Tredjelandet eller territoriet har framlagt et veikart for Kommisjonen som inneholder en tidsplan for vedtakelse av tiltak for å gjennomføre vilkårene fastsatt i bokstav d) og e).</w:t>
      </w:r>
    </w:p>
    <w:p w14:paraId="3BFCD7A4" w14:textId="77777777" w:rsidR="005D314E" w:rsidRPr="00576C3D" w:rsidRDefault="005D314E" w:rsidP="00576C3D">
      <w:pPr>
        <w:pStyle w:val="friliste2"/>
      </w:pPr>
      <w:r w:rsidRPr="00576C3D">
        <w:t>d)</w:t>
      </w:r>
      <w:r w:rsidRPr="00576C3D">
        <w:tab/>
        <w:t>Tredjelandet eller territoriet har forpliktet seg til klimanøytralitet innen 2050 og har, der det er relevant, i samsvar med dette formelt utformet og meddelt De forente nasjoners rammekonvensjon om klimaendring (UNFCCC) en langsiktig utviklingsstrategi for lave klimagassutslipp innen midten av århundret i samsvar med dette målet, og har gjennomført denne forpliktelsen i sin nasjonale rett.</w:t>
      </w:r>
    </w:p>
    <w:p w14:paraId="6DE98BF0" w14:textId="77777777" w:rsidR="005D314E" w:rsidRPr="00576C3D" w:rsidRDefault="005D314E" w:rsidP="00576C3D">
      <w:pPr>
        <w:pStyle w:val="friliste2"/>
      </w:pPr>
      <w:r w:rsidRPr="00576C3D">
        <w:t>e)</w:t>
      </w:r>
      <w:r w:rsidRPr="00576C3D">
        <w:tab/>
        <w:t>Tredjelandet eller territoriet har ved gjennomføringen av veikartet nevnt i bokstav c) påvist at det har oppfylt de fastsatte fristene, og at det er gjort betydelige framskritt i tilpasningen av nasjonal lovgivning til unionsretten på klimaområdet på grunnlag av det nevnte veikartet, herunder i retning mot karbonprising på et nivå som tilsvarer nivået i Unionen, særlig når det gjelder produksjon av elektrisitet; gjennomføringen av et kvotehandelssystem for elektrisitet, med en pris som tilsvarer EU ETS, skal være fullført innen 1. januar 2030.</w:t>
      </w:r>
    </w:p>
    <w:p w14:paraId="33AA5C77" w14:textId="77777777" w:rsidR="005D314E" w:rsidRPr="00576C3D" w:rsidRDefault="005D314E" w:rsidP="00576C3D">
      <w:pPr>
        <w:pStyle w:val="friliste2"/>
      </w:pPr>
      <w:r w:rsidRPr="00576C3D">
        <w:t>f)</w:t>
      </w:r>
      <w:r w:rsidRPr="00576C3D">
        <w:tab/>
        <w:t>Tredjelandet eller territoriet har innført et effektivt system for å hindre indirekte import av elektrisitet til Unionen fra andre tredjeland eller territorier som ikke oppfyller vilkårene i bokstav a)–e).</w:t>
      </w:r>
    </w:p>
    <w:p w14:paraId="29AA18D3" w14:textId="77777777" w:rsidR="005D314E" w:rsidRPr="00576C3D" w:rsidRDefault="005D314E" w:rsidP="00576C3D">
      <w:pPr>
        <w:pStyle w:val="friliste"/>
      </w:pPr>
      <w:r w:rsidRPr="00576C3D">
        <w:t>8.</w:t>
      </w:r>
      <w:r w:rsidRPr="00576C3D">
        <w:tab/>
        <w:t>Et tredjeland eller territorium som oppfyller alle vilkårene fastsatt i nr. 7, skal oppføres i vedlegg III nr. 2 og framlegge to rapporter om oppfyllelse av disse vilkårene, den første innen 1. juli 2025 og den andre innen 31. desember 2027. Innen 31. desember 2025 og innen 1. juli 2028 skal Kommisjonen vurdere, særlig på grunnlag av veikartet nevnt i nr. 7 bokstav c) og rapportene fra tredjelandet eller territoriet, om tredjelandet eller territoriet fortsatt oppfyller vilkårene i nr. 7.</w:t>
      </w:r>
    </w:p>
    <w:p w14:paraId="7D871716" w14:textId="77777777" w:rsidR="005D314E" w:rsidRPr="00576C3D" w:rsidRDefault="005D314E" w:rsidP="00576C3D">
      <w:pPr>
        <w:pStyle w:val="friliste"/>
      </w:pPr>
      <w:r w:rsidRPr="00576C3D">
        <w:t>9.</w:t>
      </w:r>
      <w:r w:rsidRPr="00576C3D">
        <w:tab/>
        <w:t>Et tredjeland eller territorium som er oppført på listen i nr. 2 i vedlegg III, skal fjernes fra den nevnte listen dersom ett eller flere av følgende vilkår er oppfylt:</w:t>
      </w:r>
    </w:p>
    <w:p w14:paraId="428DAF49" w14:textId="77777777" w:rsidR="005D314E" w:rsidRPr="00576C3D" w:rsidRDefault="005D314E" w:rsidP="00576C3D">
      <w:pPr>
        <w:pStyle w:val="friliste2"/>
      </w:pPr>
      <w:r w:rsidRPr="00576C3D">
        <w:t>a)</w:t>
      </w:r>
      <w:r w:rsidRPr="00576C3D">
        <w:tab/>
        <w:t>Kommisjonen har grunn til å anta at nevnte tredjeland eller territorium ikke har vist tilstrekkelig framgang for å oppfylle ett av vilkårene i nr. 7, eller at nevnte tredjeland eller territorium har truffet tiltak som er uforenlige med målene i Unionens klima- og miljøregelverk.</w:t>
      </w:r>
    </w:p>
    <w:p w14:paraId="508A6CF1" w14:textId="77777777" w:rsidR="005D314E" w:rsidRPr="00576C3D" w:rsidRDefault="005D314E" w:rsidP="00576C3D">
      <w:pPr>
        <w:pStyle w:val="friliste2"/>
      </w:pPr>
      <w:r w:rsidRPr="00576C3D">
        <w:t>b)</w:t>
      </w:r>
      <w:r w:rsidRPr="00576C3D">
        <w:tab/>
        <w:t xml:space="preserve">Tredjelandet eller territoriet har truffet tiltak som er i strid med sine mål om avkarbonisering, slik som ved å yte offentlig støtte til etablering av ny produksjonskapasitet som </w:t>
      </w:r>
      <w:proofErr w:type="gramStart"/>
      <w:r w:rsidRPr="00576C3D">
        <w:t>avgir</w:t>
      </w:r>
      <w:proofErr w:type="gramEnd"/>
      <w:r w:rsidRPr="00576C3D">
        <w:t xml:space="preserve"> mer enn 550 g karbondioksid (CO</w:t>
      </w:r>
      <w:r w:rsidRPr="00576C3D">
        <w:rPr>
          <w:rStyle w:val="skrift-senket"/>
        </w:rPr>
        <w:t>2</w:t>
      </w:r>
      <w:r w:rsidRPr="00576C3D">
        <w:t>) fra fossilt brensel per kilowattime elektrisitet.</w:t>
      </w:r>
    </w:p>
    <w:p w14:paraId="69824931" w14:textId="77777777" w:rsidR="005D314E" w:rsidRPr="00576C3D" w:rsidRDefault="005D314E" w:rsidP="00576C3D">
      <w:pPr>
        <w:pStyle w:val="friliste2"/>
      </w:pPr>
      <w:r w:rsidRPr="00576C3D">
        <w:t>c)</w:t>
      </w:r>
      <w:r w:rsidRPr="00576C3D">
        <w:tab/>
        <w:t>Kommisjonen har dokumentasjon på at utslippene per kilowattime av elektrisitet produsert i nevnte tredjeland eller territorium som følge av økt eksport av elektrisitet til Unionen har økt med minst 5 % sammenlignet med 1. januar 2026.</w:t>
      </w:r>
    </w:p>
    <w:p w14:paraId="463ECF5E" w14:textId="77777777" w:rsidR="005D314E" w:rsidRPr="00576C3D" w:rsidRDefault="005D314E" w:rsidP="00576C3D">
      <w:pPr>
        <w:pStyle w:val="friliste"/>
      </w:pPr>
      <w:r w:rsidRPr="00576C3D">
        <w:t>10.</w:t>
      </w:r>
      <w:r w:rsidRPr="00576C3D">
        <w:tab/>
        <w:t xml:space="preserve">Kommisjonen gis myndighet til å vedta delegerte rettsakter i samsvar med artikkel 28 med henblikk på å utfylle denne forordningen ved å fastsette krav og framgangsmåter for tredjeland eller territorier som er fjernet fra listen i vedlegg III nr. 2, for å sikre at denne forordningen anvendes på disse landene eller territoriene med hensyn til elektrisitet. Dersom markedskobling i slike tilfeller fortsatt er uforenlig med </w:t>
      </w:r>
      <w:proofErr w:type="gramStart"/>
      <w:r w:rsidRPr="00576C3D">
        <w:t>anvendelsen</w:t>
      </w:r>
      <w:proofErr w:type="gramEnd"/>
      <w:r w:rsidRPr="00576C3D">
        <w:t xml:space="preserve"> av denne forordningen, kan Kommisjonen beslutte å utelukke disse tredjelandene eller territoriene fra markedskobling i Unionen og kreve eksplisitt kapasitetstildeling ved grensen mellom Unionen og disse tredjelandene eller territoriene, slik at CBAM kan anvendes.</w:t>
      </w:r>
    </w:p>
    <w:p w14:paraId="72A61892" w14:textId="77777777" w:rsidR="005D314E" w:rsidRPr="00576C3D" w:rsidRDefault="005D314E" w:rsidP="00576C3D">
      <w:pPr>
        <w:pStyle w:val="friliste"/>
      </w:pPr>
      <w:r w:rsidRPr="00576C3D">
        <w:t>11.</w:t>
      </w:r>
      <w:r w:rsidRPr="00576C3D">
        <w:tab/>
        <w:t>Kommisjonen gis myndighet til å vedta delegerte rettsakter i samsvar med artikkel 28 for å endre listene over tredjeland eller territorier oppført i nr. 1 eller 2 i vedlegg III ved å tilføye eller fjerne et tredjeland eller territorium, avhengig av om vilkårene fastsatt i nr. 6, 7 eller 9 i denne artikkelen er oppfylt for det aktuelle tredjelandet eller territoriet.</w:t>
      </w:r>
    </w:p>
    <w:p w14:paraId="6909878E" w14:textId="77777777" w:rsidR="005D314E" w:rsidRPr="00576C3D" w:rsidRDefault="005D314E" w:rsidP="00576C3D">
      <w:pPr>
        <w:pStyle w:val="friliste"/>
      </w:pPr>
      <w:r w:rsidRPr="00576C3D">
        <w:t>12.</w:t>
      </w:r>
      <w:r w:rsidRPr="00576C3D">
        <w:tab/>
        <w:t xml:space="preserve">Unionen kan inngå avtaler med tredjeland eller territorier med henblikk på å ta hensyn til karbonprisingsmekanismer i slike land eller territorier ved </w:t>
      </w:r>
      <w:proofErr w:type="gramStart"/>
      <w:r w:rsidRPr="00576C3D">
        <w:t>anvendelsen</w:t>
      </w:r>
      <w:proofErr w:type="gramEnd"/>
      <w:r w:rsidRPr="00576C3D">
        <w:t xml:space="preserve"> av artikkel 9.</w:t>
      </w:r>
    </w:p>
    <w:p w14:paraId="2DA24FCB" w14:textId="77777777" w:rsidR="005D314E" w:rsidRPr="00576C3D" w:rsidRDefault="005D314E" w:rsidP="00576C3D">
      <w:pPr>
        <w:pStyle w:val="avsnitt-undertittel"/>
      </w:pPr>
      <w:r w:rsidRPr="00576C3D">
        <w:t>Artikkel 3</w:t>
      </w:r>
    </w:p>
    <w:p w14:paraId="46DBE63A" w14:textId="77777777" w:rsidR="005D314E" w:rsidRPr="00576C3D" w:rsidRDefault="005D314E" w:rsidP="00576C3D">
      <w:pPr>
        <w:pStyle w:val="Undertittel"/>
      </w:pPr>
      <w:r w:rsidRPr="00576C3D">
        <w:t>Definisjoner</w:t>
      </w:r>
    </w:p>
    <w:p w14:paraId="7D1C23D8" w14:textId="77777777" w:rsidR="005D314E" w:rsidRPr="00576C3D" w:rsidRDefault="005D314E" w:rsidP="00576C3D">
      <w:r w:rsidRPr="00576C3D">
        <w:t>I denne forordningen menes med</w:t>
      </w:r>
    </w:p>
    <w:p w14:paraId="3B98216F" w14:textId="77777777" w:rsidR="005D314E" w:rsidRPr="00576C3D" w:rsidRDefault="005D314E" w:rsidP="00576C3D">
      <w:pPr>
        <w:pStyle w:val="friliste"/>
      </w:pPr>
      <w:r w:rsidRPr="00576C3D">
        <w:t>1)</w:t>
      </w:r>
      <w:r w:rsidRPr="00576C3D">
        <w:tab/>
        <w:t>«varer» varer oppført i vedlegg I,</w:t>
      </w:r>
    </w:p>
    <w:p w14:paraId="564784DA" w14:textId="77777777" w:rsidR="005D314E" w:rsidRPr="00576C3D" w:rsidRDefault="005D314E" w:rsidP="00576C3D">
      <w:pPr>
        <w:pStyle w:val="friliste"/>
      </w:pPr>
      <w:r w:rsidRPr="00576C3D">
        <w:t>2)</w:t>
      </w:r>
      <w:r w:rsidRPr="00576C3D">
        <w:tab/>
        <w:t>«klimagasser» klimagasser som oppført i vedlegg I for hver av varene oppført i vedlegget,</w:t>
      </w:r>
    </w:p>
    <w:p w14:paraId="10C07DC2" w14:textId="77777777" w:rsidR="005D314E" w:rsidRPr="00576C3D" w:rsidRDefault="005D314E" w:rsidP="00576C3D">
      <w:pPr>
        <w:pStyle w:val="friliste"/>
      </w:pPr>
      <w:r w:rsidRPr="00576C3D">
        <w:t>3)</w:t>
      </w:r>
      <w:r w:rsidRPr="00576C3D">
        <w:tab/>
        <w:t>«utslipp» utslipp av klimagasser i atmosfæren fra produksjonen av varer,</w:t>
      </w:r>
    </w:p>
    <w:p w14:paraId="43A537CB" w14:textId="77777777" w:rsidR="005D314E" w:rsidRPr="00576C3D" w:rsidRDefault="005D314E" w:rsidP="00576C3D">
      <w:pPr>
        <w:pStyle w:val="friliste"/>
      </w:pPr>
      <w:r w:rsidRPr="00576C3D">
        <w:t>4)</w:t>
      </w:r>
      <w:r w:rsidRPr="00576C3D">
        <w:tab/>
        <w:t>«import» overgang til fri disponering som omhandlet i artikkel 201 i forordning (EU) nr. 952/2013,</w:t>
      </w:r>
    </w:p>
    <w:p w14:paraId="345A490E" w14:textId="77777777" w:rsidR="005D314E" w:rsidRPr="00576C3D" w:rsidRDefault="005D314E" w:rsidP="00576C3D">
      <w:pPr>
        <w:pStyle w:val="friliste"/>
      </w:pPr>
      <w:r w:rsidRPr="00576C3D">
        <w:t>5)</w:t>
      </w:r>
      <w:r w:rsidRPr="00576C3D">
        <w:tab/>
        <w:t>«EU ETS» ordningen for handel med kvoter for utslipp av klimagasser i Unionen for annen virksomhet oppført i vedlegg I til direktiv 2003/87/EF enn luftfartsvirksomhet,</w:t>
      </w:r>
    </w:p>
    <w:p w14:paraId="06B15D8E" w14:textId="77777777" w:rsidR="005D314E" w:rsidRPr="00576C3D" w:rsidRDefault="005D314E" w:rsidP="00576C3D">
      <w:pPr>
        <w:pStyle w:val="friliste"/>
      </w:pPr>
      <w:r w:rsidRPr="00576C3D">
        <w:t>6)</w:t>
      </w:r>
      <w:r w:rsidRPr="00576C3D">
        <w:tab/>
        <w:t>«Unionens tollområde» området definert i artikkel 4 i forordning (EU) nr. 952/2013,</w:t>
      </w:r>
    </w:p>
    <w:p w14:paraId="5D5EBE4A" w14:textId="77777777" w:rsidR="005D314E" w:rsidRPr="00576C3D" w:rsidRDefault="005D314E" w:rsidP="00576C3D">
      <w:pPr>
        <w:pStyle w:val="friliste"/>
      </w:pPr>
      <w:r w:rsidRPr="00576C3D">
        <w:t>7)</w:t>
      </w:r>
      <w:r w:rsidRPr="00576C3D">
        <w:tab/>
        <w:t>«tredjeland» et land eller territorium utenfor Unionens tollområde,</w:t>
      </w:r>
    </w:p>
    <w:p w14:paraId="16B71572" w14:textId="77777777" w:rsidR="005D314E" w:rsidRPr="00576C3D" w:rsidRDefault="005D314E" w:rsidP="00576C3D">
      <w:pPr>
        <w:pStyle w:val="friliste"/>
      </w:pPr>
      <w:r w:rsidRPr="00576C3D">
        <w:t>8)</w:t>
      </w:r>
      <w:r w:rsidRPr="00576C3D">
        <w:tab/>
        <w:t>«kontinentalsokkel» en kontinentalsokkel som definert i artikkel 76 i De forente nasjoners havrettskonvensjon,</w:t>
      </w:r>
    </w:p>
    <w:p w14:paraId="08BE73DC" w14:textId="77777777" w:rsidR="005D314E" w:rsidRPr="00576C3D" w:rsidRDefault="005D314E" w:rsidP="00576C3D">
      <w:pPr>
        <w:pStyle w:val="friliste"/>
      </w:pPr>
      <w:r w:rsidRPr="00576C3D">
        <w:t>9)</w:t>
      </w:r>
      <w:r w:rsidRPr="00576C3D">
        <w:tab/>
        <w:t>«eksklusiv økonomisk sone» en eksklusiv økonomisk sone som definert i artikkel 55 i De forente nasjoners havrettskonvensjon, og som er erklært som eksklusiv økonomisk sone av en medlemsstat i henhold til den nevnte konvensjonen,</w:t>
      </w:r>
    </w:p>
    <w:p w14:paraId="0D6F704E" w14:textId="77777777" w:rsidR="005D314E" w:rsidRPr="00576C3D" w:rsidRDefault="005D314E" w:rsidP="00576C3D">
      <w:pPr>
        <w:pStyle w:val="friliste"/>
      </w:pPr>
      <w:r w:rsidRPr="00576C3D">
        <w:t>10)</w:t>
      </w:r>
      <w:r w:rsidRPr="00576C3D">
        <w:tab/>
        <w:t>«egenverdi» egenverdi for kommersielle varer som definert i artikkel 1 nr. 48 i delegert forordning (EU) 2015/2446,</w:t>
      </w:r>
    </w:p>
    <w:p w14:paraId="0734085A" w14:textId="77777777" w:rsidR="005D314E" w:rsidRPr="00576C3D" w:rsidRDefault="005D314E" w:rsidP="00576C3D">
      <w:pPr>
        <w:pStyle w:val="friliste"/>
      </w:pPr>
      <w:r w:rsidRPr="00576C3D">
        <w:t>11)</w:t>
      </w:r>
      <w:r w:rsidRPr="00576C3D">
        <w:tab/>
        <w:t xml:space="preserve">«markedskobling» tildeling av overføringskapasitet gjennom et unionssystem som samtidig matcher ordrer og tildeler overføringskapasitet mellom </w:t>
      </w:r>
      <w:proofErr w:type="spellStart"/>
      <w:r w:rsidRPr="00576C3D">
        <w:t>budområder</w:t>
      </w:r>
      <w:proofErr w:type="spellEnd"/>
      <w:r w:rsidRPr="00576C3D">
        <w:t xml:space="preserve"> som fastsatt i forordning (EU) 2015/1222,</w:t>
      </w:r>
    </w:p>
    <w:p w14:paraId="72311805" w14:textId="77777777" w:rsidR="005D314E" w:rsidRPr="00576C3D" w:rsidRDefault="005D314E" w:rsidP="00576C3D">
      <w:pPr>
        <w:pStyle w:val="friliste"/>
      </w:pPr>
      <w:r w:rsidRPr="00576C3D">
        <w:t>12)</w:t>
      </w:r>
      <w:r w:rsidRPr="00576C3D">
        <w:tab/>
        <w:t>«eksplisitt kapasitetstildeling» tildeling av overføringskapasitet over landegrensene atskilt fra handel med elektrisitet,</w:t>
      </w:r>
    </w:p>
    <w:p w14:paraId="607361EA" w14:textId="77777777" w:rsidR="005D314E" w:rsidRPr="00576C3D" w:rsidRDefault="005D314E" w:rsidP="00576C3D">
      <w:pPr>
        <w:pStyle w:val="friliste"/>
      </w:pPr>
      <w:r w:rsidRPr="00576C3D">
        <w:t>13)</w:t>
      </w:r>
      <w:r w:rsidRPr="00576C3D">
        <w:tab/>
        <w:t>«vedkommende myndigheter» myndighetene som hver medlemsstat har utpekt i henhold til artikkel 11,</w:t>
      </w:r>
    </w:p>
    <w:p w14:paraId="45802FA4" w14:textId="77777777" w:rsidR="005D314E" w:rsidRPr="00576C3D" w:rsidRDefault="005D314E" w:rsidP="00576C3D">
      <w:pPr>
        <w:pStyle w:val="friliste"/>
      </w:pPr>
      <w:r w:rsidRPr="00576C3D">
        <w:t>14)</w:t>
      </w:r>
      <w:r w:rsidRPr="00576C3D">
        <w:tab/>
        <w:t>«tollmyndigheter» medlemsstatenes tollmyndigheter som definert i artikkel 5 nr. 1 i forordning (EU) nr. 952/2013,</w:t>
      </w:r>
    </w:p>
    <w:p w14:paraId="61B0740D" w14:textId="77777777" w:rsidR="005D314E" w:rsidRPr="00576C3D" w:rsidRDefault="005D314E" w:rsidP="00576C3D">
      <w:pPr>
        <w:pStyle w:val="friliste"/>
      </w:pPr>
      <w:r w:rsidRPr="00576C3D">
        <w:t>15)</w:t>
      </w:r>
      <w:r w:rsidRPr="00576C3D">
        <w:tab/>
        <w:t>«importør» enten personen som inngir en tolldeklarasjon for overgang til fri disponering av varer i eget navn og på egne vegne, eller, dersom tolldeklarasjonen inngis av en indirekte tollrepresentant i samsvar med artikkel 18 i forordning (EU) nr. 952/2013, personen på hvis vegne en slik deklarasjon inngis,</w:t>
      </w:r>
    </w:p>
    <w:p w14:paraId="49610FE2" w14:textId="77777777" w:rsidR="005D314E" w:rsidRPr="00576C3D" w:rsidRDefault="005D314E" w:rsidP="00576C3D">
      <w:pPr>
        <w:pStyle w:val="friliste"/>
      </w:pPr>
      <w:r w:rsidRPr="00576C3D">
        <w:t>16)</w:t>
      </w:r>
      <w:r w:rsidRPr="00576C3D">
        <w:tab/>
        <w:t>«</w:t>
      </w:r>
      <w:proofErr w:type="spellStart"/>
      <w:r w:rsidRPr="00576C3D">
        <w:t>tolldeklarant</w:t>
      </w:r>
      <w:proofErr w:type="spellEnd"/>
      <w:r w:rsidRPr="00576C3D">
        <w:t>» en deklarasjonspliktig som definert i artikkel 5 punkt 15 i forordning (EU) nr. 952/2013 som inngir en tolldeklarasjon for overgang til fri disponering av varer i eget navn, eller personen i hvis navn en slik deklarasjon inngis,</w:t>
      </w:r>
    </w:p>
    <w:p w14:paraId="2BAB1FED" w14:textId="77777777" w:rsidR="005D314E" w:rsidRPr="00576C3D" w:rsidRDefault="005D314E" w:rsidP="00576C3D">
      <w:pPr>
        <w:pStyle w:val="friliste"/>
      </w:pPr>
      <w:r w:rsidRPr="00576C3D">
        <w:t>17)</w:t>
      </w:r>
      <w:r w:rsidRPr="00576C3D">
        <w:tab/>
        <w:t>«autorisert CBAM-</w:t>
      </w:r>
      <w:proofErr w:type="spellStart"/>
      <w:r w:rsidRPr="00576C3D">
        <w:t>deklarant</w:t>
      </w:r>
      <w:proofErr w:type="spellEnd"/>
      <w:r w:rsidRPr="00576C3D">
        <w:t>» en person som er autorisert av vedkommende myndighet i samsvar med artikkel 17,</w:t>
      </w:r>
    </w:p>
    <w:p w14:paraId="5EF4A43B" w14:textId="77777777" w:rsidR="005D314E" w:rsidRPr="00576C3D" w:rsidRDefault="005D314E" w:rsidP="00576C3D">
      <w:pPr>
        <w:pStyle w:val="friliste"/>
      </w:pPr>
      <w:r w:rsidRPr="00576C3D">
        <w:t>18)</w:t>
      </w:r>
      <w:r w:rsidRPr="00576C3D">
        <w:tab/>
        <w:t>«person» en fysisk person, en juridisk person eller en sammenslutning av personer som ikke er en juridisk person, men som i henhold til unionsretten eller nasjonal rett er anerkjent å ha rettslig handleevne,</w:t>
      </w:r>
    </w:p>
    <w:p w14:paraId="6A4D632B" w14:textId="77777777" w:rsidR="005D314E" w:rsidRPr="00576C3D" w:rsidRDefault="005D314E" w:rsidP="00576C3D">
      <w:pPr>
        <w:pStyle w:val="friliste"/>
      </w:pPr>
      <w:r w:rsidRPr="00576C3D">
        <w:t>19)</w:t>
      </w:r>
      <w:r w:rsidRPr="00576C3D">
        <w:tab/>
        <w:t>«etablert i en medlemsstat»</w:t>
      </w:r>
    </w:p>
    <w:p w14:paraId="35E24C80" w14:textId="77777777" w:rsidR="005D314E" w:rsidRPr="00576C3D" w:rsidRDefault="005D314E" w:rsidP="00576C3D">
      <w:pPr>
        <w:pStyle w:val="friliste2"/>
      </w:pPr>
      <w:r w:rsidRPr="00576C3D">
        <w:t>a)</w:t>
      </w:r>
      <w:r w:rsidRPr="00576C3D">
        <w:tab/>
        <w:t>for en fysisk person, enhver person som har bopel i en medlemsstat,</w:t>
      </w:r>
    </w:p>
    <w:p w14:paraId="459DA936" w14:textId="77777777" w:rsidR="005D314E" w:rsidRPr="00576C3D" w:rsidRDefault="005D314E" w:rsidP="00576C3D">
      <w:pPr>
        <w:pStyle w:val="friliste2"/>
      </w:pPr>
      <w:r w:rsidRPr="00576C3D">
        <w:t>b)</w:t>
      </w:r>
      <w:r w:rsidRPr="00576C3D">
        <w:tab/>
        <w:t>for en juridisk person eller en sammenslutning av personer, enhver person med forretningskontor, hovedkontor eller fast driftssted i Unionen,</w:t>
      </w:r>
    </w:p>
    <w:p w14:paraId="4C7146DF" w14:textId="77777777" w:rsidR="005D314E" w:rsidRPr="00576C3D" w:rsidRDefault="005D314E" w:rsidP="00576C3D">
      <w:pPr>
        <w:pStyle w:val="friliste"/>
      </w:pPr>
      <w:r w:rsidRPr="00576C3D">
        <w:t>20)</w:t>
      </w:r>
      <w:r w:rsidRPr="00576C3D">
        <w:tab/>
        <w:t>«EORI-nummer» (</w:t>
      </w:r>
      <w:proofErr w:type="spellStart"/>
      <w:r w:rsidRPr="00576C3D">
        <w:t>Economic</w:t>
      </w:r>
      <w:proofErr w:type="spellEnd"/>
      <w:r w:rsidRPr="00576C3D">
        <w:t xml:space="preserve"> Operators </w:t>
      </w:r>
      <w:proofErr w:type="spellStart"/>
      <w:r w:rsidRPr="00576C3D">
        <w:t>Registration</w:t>
      </w:r>
      <w:proofErr w:type="spellEnd"/>
      <w:r w:rsidRPr="00576C3D">
        <w:t xml:space="preserve"> and </w:t>
      </w:r>
      <w:proofErr w:type="spellStart"/>
      <w:r w:rsidRPr="00576C3D">
        <w:t>Identification</w:t>
      </w:r>
      <w:proofErr w:type="spellEnd"/>
      <w:r w:rsidRPr="00576C3D">
        <w:t xml:space="preserve"> </w:t>
      </w:r>
      <w:proofErr w:type="spellStart"/>
      <w:r w:rsidRPr="00576C3D">
        <w:t>number</w:t>
      </w:r>
      <w:proofErr w:type="spellEnd"/>
      <w:r w:rsidRPr="00576C3D">
        <w:t>) nummeret som tildeles av tollmyndigheten når registreringen for tollformål er utført i samsvar med artikkel 9 i forordning (EU) nr. 952/2013,</w:t>
      </w:r>
    </w:p>
    <w:p w14:paraId="30B8B314" w14:textId="77777777" w:rsidR="005D314E" w:rsidRPr="00576C3D" w:rsidRDefault="005D314E" w:rsidP="00576C3D">
      <w:pPr>
        <w:pStyle w:val="friliste"/>
      </w:pPr>
      <w:r w:rsidRPr="00576C3D">
        <w:t>21)</w:t>
      </w:r>
      <w:r w:rsidRPr="00576C3D">
        <w:tab/>
        <w:t>«direkte utslipp» utslipp fra produksjonsprosesser for varer, herunder utslipp fra produksjon av varme og kjøling som forbrukes under produksjonsprosessene, uansett hvor produksjonen av varme eller kjøling foregår,</w:t>
      </w:r>
    </w:p>
    <w:p w14:paraId="38BAC67B" w14:textId="77777777" w:rsidR="005D314E" w:rsidRPr="00576C3D" w:rsidRDefault="005D314E" w:rsidP="00576C3D">
      <w:pPr>
        <w:pStyle w:val="friliste"/>
      </w:pPr>
      <w:r w:rsidRPr="00576C3D">
        <w:t>22)</w:t>
      </w:r>
      <w:r w:rsidRPr="00576C3D">
        <w:tab/>
        <w:t>«innbakte utslipp» direkte utslipp som frigjøres under produksjonen av varer og indirekte utslipp fra produksjonen av elektrisitet som forbrukes under produksjonsprosessene, beregnet i samsvar med metodene fastsatt i vedlegg IV og nærmere angitt i gjennomføringsrettsaktene vedtatt i henhold til artikkel 7 nr. 7,</w:t>
      </w:r>
    </w:p>
    <w:p w14:paraId="705D29B5" w14:textId="77777777" w:rsidR="005D314E" w:rsidRPr="00576C3D" w:rsidRDefault="005D314E" w:rsidP="00576C3D">
      <w:pPr>
        <w:pStyle w:val="friliste"/>
      </w:pPr>
      <w:r w:rsidRPr="00576C3D">
        <w:t>23)</w:t>
      </w:r>
      <w:r w:rsidRPr="00576C3D">
        <w:tab/>
        <w:t>«tonn CO</w:t>
      </w:r>
      <w:r w:rsidRPr="00576C3D">
        <w:rPr>
          <w:rStyle w:val="skrift-senket"/>
        </w:rPr>
        <w:t>2</w:t>
      </w:r>
      <w:r w:rsidRPr="00576C3D">
        <w:t>-ekvivalenter» ett metrisk tonn CO</w:t>
      </w:r>
      <w:r w:rsidRPr="00576C3D">
        <w:rPr>
          <w:rStyle w:val="skrift-senket"/>
        </w:rPr>
        <w:t>2</w:t>
      </w:r>
      <w:r w:rsidRPr="00576C3D">
        <w:t xml:space="preserve"> eller en mengde av alle andre klimagasser oppført i vedlegg I med tilsvarende potensial for global oppvarming.</w:t>
      </w:r>
    </w:p>
    <w:p w14:paraId="4115FA77" w14:textId="77777777" w:rsidR="005D314E" w:rsidRPr="00576C3D" w:rsidRDefault="005D314E" w:rsidP="00576C3D">
      <w:pPr>
        <w:pStyle w:val="friliste"/>
      </w:pPr>
      <w:r w:rsidRPr="00576C3D">
        <w:t>24)</w:t>
      </w:r>
      <w:r w:rsidRPr="00576C3D">
        <w:tab/>
        <w:t>«CBAM-sertifikat» et sertifikat i elektronisk format som tilsvarer ett tonn CO</w:t>
      </w:r>
      <w:r w:rsidRPr="00576C3D">
        <w:rPr>
          <w:rStyle w:val="skrift-senket"/>
        </w:rPr>
        <w:t>2</w:t>
      </w:r>
      <w:r w:rsidRPr="00576C3D">
        <w:t>-ekvivalenter innbakte utslipp i varer,</w:t>
      </w:r>
    </w:p>
    <w:p w14:paraId="03368EDC" w14:textId="77777777" w:rsidR="005D314E" w:rsidRPr="00576C3D" w:rsidRDefault="005D314E" w:rsidP="00576C3D">
      <w:pPr>
        <w:pStyle w:val="friliste"/>
      </w:pPr>
      <w:r w:rsidRPr="00576C3D">
        <w:t>25)</w:t>
      </w:r>
      <w:r w:rsidRPr="00576C3D">
        <w:tab/>
        <w:t>«innlevering» levering av CBAM-sertifikater til motregning mot de deklarerte innbakte utslippene i importerte varer eller mot de innbakte utslippene i importerte varer som skulle vært deklarert,</w:t>
      </w:r>
    </w:p>
    <w:p w14:paraId="5F13496A" w14:textId="77777777" w:rsidR="005D314E" w:rsidRPr="00576C3D" w:rsidRDefault="005D314E" w:rsidP="00576C3D">
      <w:pPr>
        <w:pStyle w:val="friliste"/>
      </w:pPr>
      <w:r w:rsidRPr="00576C3D">
        <w:t>26)</w:t>
      </w:r>
      <w:r w:rsidRPr="00576C3D">
        <w:tab/>
        <w:t>«produksjonsprosesser» kjemiske og fysiske prosesser som utføres for å produsere varer i et anlegg,</w:t>
      </w:r>
    </w:p>
    <w:p w14:paraId="01F449E5" w14:textId="77777777" w:rsidR="005D314E" w:rsidRPr="00576C3D" w:rsidRDefault="005D314E" w:rsidP="00576C3D">
      <w:pPr>
        <w:pStyle w:val="friliste"/>
      </w:pPr>
      <w:r w:rsidRPr="00576C3D">
        <w:t>27)</w:t>
      </w:r>
      <w:r w:rsidRPr="00576C3D">
        <w:tab/>
        <w:t>«standardverdi» en verdi som beregnes eller utledes fra sekundærdata, som representerer de innbakte utslippene i varer,</w:t>
      </w:r>
    </w:p>
    <w:p w14:paraId="13C38D44" w14:textId="77777777" w:rsidR="005D314E" w:rsidRPr="00576C3D" w:rsidRDefault="005D314E" w:rsidP="00576C3D">
      <w:pPr>
        <w:pStyle w:val="friliste"/>
      </w:pPr>
      <w:r w:rsidRPr="00576C3D">
        <w:t>28)</w:t>
      </w:r>
      <w:r w:rsidRPr="00576C3D">
        <w:tab/>
        <w:t>«faktiske utslipp» utslipp beregnet på grunnlag av primærdata fra produksjonsprosessene for varer og fra produksjonen av elektrisitet som forbrukes under disse prosessene, bestemt i samsvar med metodene fastsatt i vedlegg IV,</w:t>
      </w:r>
    </w:p>
    <w:p w14:paraId="500F3096" w14:textId="77777777" w:rsidR="005D314E" w:rsidRPr="00576C3D" w:rsidRDefault="005D314E" w:rsidP="00576C3D">
      <w:pPr>
        <w:pStyle w:val="friliste"/>
      </w:pPr>
      <w:r w:rsidRPr="00576C3D">
        <w:t>29)</w:t>
      </w:r>
      <w:r w:rsidRPr="00576C3D">
        <w:tab/>
        <w:t>«karbonpris» det pengebeløpet som betales i et tredjeland i henhold til en ordning for reduksjon av karbonutslipp, i form av en skatt, en avgift eller et gebyr eller i form av utslippskvoter i henhold til en ordning for handel med klimagassutslipp, beregnet på grunnlag av klimagasser som omfattes av et slikt tiltak, og som frigjøres under produksjonen av varer,</w:t>
      </w:r>
    </w:p>
    <w:p w14:paraId="71C7D4E3" w14:textId="77777777" w:rsidR="005D314E" w:rsidRPr="00576C3D" w:rsidRDefault="005D314E" w:rsidP="00576C3D">
      <w:pPr>
        <w:pStyle w:val="friliste"/>
      </w:pPr>
      <w:r w:rsidRPr="00576C3D">
        <w:t>30)</w:t>
      </w:r>
      <w:r w:rsidRPr="00576C3D">
        <w:tab/>
        <w:t>«anlegg» en fast teknisk enhet der det utføres en produksjonsprosess,</w:t>
      </w:r>
    </w:p>
    <w:p w14:paraId="1A3F05F9" w14:textId="77777777" w:rsidR="005D314E" w:rsidRPr="00576C3D" w:rsidRDefault="005D314E" w:rsidP="00576C3D">
      <w:pPr>
        <w:pStyle w:val="friliste"/>
      </w:pPr>
      <w:r w:rsidRPr="00576C3D">
        <w:t>31)</w:t>
      </w:r>
      <w:r w:rsidRPr="00576C3D">
        <w:tab/>
        <w:t>«operatør» enhver person som driver eller kontrollerer et anlegg i et tredjeland,</w:t>
      </w:r>
    </w:p>
    <w:p w14:paraId="7ED4DE85" w14:textId="77777777" w:rsidR="005D314E" w:rsidRPr="00576C3D" w:rsidRDefault="005D314E" w:rsidP="00576C3D">
      <w:pPr>
        <w:pStyle w:val="friliste"/>
      </w:pPr>
      <w:r w:rsidRPr="00576C3D">
        <w:t>32)</w:t>
      </w:r>
      <w:r w:rsidRPr="00576C3D">
        <w:tab/>
        <w:t>«nasjonalt akkrediteringsorgan» et nasjonalt akkrediteringsorgan oppnevnt av hver medlemsstat som definert i artikkel 4 nr. 1 i forordning (EF) nr. 765/2008,</w:t>
      </w:r>
    </w:p>
    <w:p w14:paraId="476995F1" w14:textId="77777777" w:rsidR="005D314E" w:rsidRPr="00576C3D" w:rsidRDefault="005D314E" w:rsidP="00576C3D">
      <w:pPr>
        <w:pStyle w:val="friliste"/>
      </w:pPr>
      <w:r w:rsidRPr="00576C3D">
        <w:t>33)</w:t>
      </w:r>
      <w:r w:rsidRPr="00576C3D">
        <w:tab/>
        <w:t>«EU ETS-kvote» en kvote som definert i artikkel 3 bokstav a) i direktiv 2003/87/EF for aktiviteter oppført i vedlegg I til det nevnte direktivet, unntatt luftfartsaktiviteter,</w:t>
      </w:r>
    </w:p>
    <w:p w14:paraId="38AA21AF" w14:textId="77777777" w:rsidR="005D314E" w:rsidRPr="00576C3D" w:rsidRDefault="005D314E" w:rsidP="00576C3D">
      <w:pPr>
        <w:pStyle w:val="friliste"/>
      </w:pPr>
      <w:r w:rsidRPr="00576C3D">
        <w:t>34)</w:t>
      </w:r>
      <w:r w:rsidRPr="00576C3D">
        <w:tab/>
        <w:t>«indirekte utslipp» utslipp fra produksjon av elektrisitet som forbrukes under produksjonsprosesser for varer, uansett hvor produksjonen av den forbrukte elektrisiteten foregår.</w:t>
      </w:r>
    </w:p>
    <w:p w14:paraId="71DAF5F6" w14:textId="77777777" w:rsidR="005D314E" w:rsidRPr="00576C3D" w:rsidRDefault="005D314E" w:rsidP="00576C3D">
      <w:pPr>
        <w:pStyle w:val="avsnitt-undertittel"/>
      </w:pPr>
      <w:r w:rsidRPr="00576C3D">
        <w:t>Kapittel II</w:t>
      </w:r>
    </w:p>
    <w:p w14:paraId="781AD1D4" w14:textId="77777777" w:rsidR="005D314E" w:rsidRPr="00576C3D" w:rsidRDefault="005D314E" w:rsidP="00576C3D">
      <w:pPr>
        <w:pStyle w:val="Undertittel"/>
      </w:pPr>
      <w:r w:rsidRPr="00576C3D">
        <w:t>De autoriserte CBAM-</w:t>
      </w:r>
      <w:proofErr w:type="spellStart"/>
      <w:r w:rsidRPr="00576C3D">
        <w:t>deklarantenes</w:t>
      </w:r>
      <w:proofErr w:type="spellEnd"/>
      <w:r w:rsidRPr="00576C3D">
        <w:t xml:space="preserve"> forpliktelser og rettigheter</w:t>
      </w:r>
    </w:p>
    <w:p w14:paraId="37F0AEC6" w14:textId="77777777" w:rsidR="005D314E" w:rsidRPr="00576C3D" w:rsidRDefault="005D314E" w:rsidP="00576C3D">
      <w:pPr>
        <w:pStyle w:val="avsnitt-undertittel"/>
      </w:pPr>
      <w:r w:rsidRPr="00576C3D">
        <w:t>Artikkel 4</w:t>
      </w:r>
    </w:p>
    <w:p w14:paraId="276DA60B" w14:textId="77777777" w:rsidR="005D314E" w:rsidRPr="00576C3D" w:rsidRDefault="005D314E" w:rsidP="00576C3D">
      <w:pPr>
        <w:pStyle w:val="Undertittel"/>
      </w:pPr>
      <w:r w:rsidRPr="00576C3D">
        <w:t>Import av varer</w:t>
      </w:r>
    </w:p>
    <w:p w14:paraId="3487ABBE" w14:textId="77777777" w:rsidR="005D314E" w:rsidRPr="00576C3D" w:rsidRDefault="005D314E" w:rsidP="00576C3D">
      <w:r w:rsidRPr="00576C3D">
        <w:t>Varer skal bare importeres til Unionens tollområde av en autorisert CBAM-</w:t>
      </w:r>
      <w:proofErr w:type="spellStart"/>
      <w:r w:rsidRPr="00576C3D">
        <w:t>deklarant</w:t>
      </w:r>
      <w:proofErr w:type="spellEnd"/>
      <w:r w:rsidRPr="00576C3D">
        <w:t>.</w:t>
      </w:r>
    </w:p>
    <w:p w14:paraId="53D47742" w14:textId="77777777" w:rsidR="005D314E" w:rsidRPr="00576C3D" w:rsidRDefault="005D314E" w:rsidP="00576C3D">
      <w:pPr>
        <w:pStyle w:val="avsnitt-undertittel"/>
      </w:pPr>
      <w:r w:rsidRPr="00576C3D">
        <w:t>Artikkel 5</w:t>
      </w:r>
    </w:p>
    <w:p w14:paraId="18EFF3A6" w14:textId="77777777" w:rsidR="005D314E" w:rsidRPr="00576C3D" w:rsidRDefault="005D314E" w:rsidP="00576C3D">
      <w:pPr>
        <w:pStyle w:val="Undertittel"/>
      </w:pPr>
      <w:r w:rsidRPr="00576C3D">
        <w:t>Søknad om autorisasjon</w:t>
      </w:r>
    </w:p>
    <w:p w14:paraId="4862E485" w14:textId="77777777" w:rsidR="005D314E" w:rsidRPr="00576C3D" w:rsidRDefault="005D314E" w:rsidP="00576C3D">
      <w:pPr>
        <w:pStyle w:val="friliste"/>
      </w:pPr>
      <w:r w:rsidRPr="00576C3D">
        <w:t>1.</w:t>
      </w:r>
      <w:r w:rsidRPr="00576C3D">
        <w:tab/>
        <w:t>Enhver importør etablert i en medlemsstat skal, før import av varer til Unionens tollområde, søke om status som autorisert CBAM-</w:t>
      </w:r>
      <w:proofErr w:type="spellStart"/>
      <w:r w:rsidRPr="00576C3D">
        <w:t>deklarant</w:t>
      </w:r>
      <w:proofErr w:type="spellEnd"/>
      <w:r w:rsidRPr="00576C3D">
        <w:t xml:space="preserve"> («søknad om autorisasjon»). Dersom en slik importør oppnevner en indirekte tollrepresentant i samsvar med artikkel 18 i forordning (EU) nr. 952/2013, og den indirekte tollrepresentanten samtykker i å fungere som en autorisert CBAM-</w:t>
      </w:r>
      <w:proofErr w:type="spellStart"/>
      <w:r w:rsidRPr="00576C3D">
        <w:t>deklarant</w:t>
      </w:r>
      <w:proofErr w:type="spellEnd"/>
      <w:r w:rsidRPr="00576C3D">
        <w:t>, skal den indirekte tollrepresentanten sende inn søknaden om autorisasjon.</w:t>
      </w:r>
    </w:p>
    <w:p w14:paraId="14E5AB85" w14:textId="77777777" w:rsidR="005D314E" w:rsidRPr="00576C3D" w:rsidRDefault="005D314E" w:rsidP="00576C3D">
      <w:pPr>
        <w:pStyle w:val="friliste"/>
      </w:pPr>
      <w:r w:rsidRPr="00576C3D">
        <w:t>2.</w:t>
      </w:r>
      <w:r w:rsidRPr="00576C3D">
        <w:tab/>
        <w:t>Dersom en importør ikke er etablert i en medlemsstat, skal den indirekte tollrepresentanten sende inn søknaden om autorisasjon.</w:t>
      </w:r>
    </w:p>
    <w:p w14:paraId="49F1C1B1" w14:textId="77777777" w:rsidR="005D314E" w:rsidRPr="00576C3D" w:rsidRDefault="005D314E" w:rsidP="00576C3D">
      <w:pPr>
        <w:pStyle w:val="friliste"/>
      </w:pPr>
      <w:r w:rsidRPr="00576C3D">
        <w:t>3.</w:t>
      </w:r>
      <w:r w:rsidRPr="00576C3D">
        <w:tab/>
        <w:t>Søknaden om autorisasjon skal inngis via CBAM-registeret opprettet i samsvar med artikkel 14.</w:t>
      </w:r>
    </w:p>
    <w:p w14:paraId="5AA07BDD" w14:textId="77777777" w:rsidR="005D314E" w:rsidRPr="00576C3D" w:rsidRDefault="005D314E" w:rsidP="00576C3D">
      <w:pPr>
        <w:pStyle w:val="friliste"/>
      </w:pPr>
      <w:r w:rsidRPr="00576C3D">
        <w:t>4.</w:t>
      </w:r>
      <w:r w:rsidRPr="00576C3D">
        <w:tab/>
        <w:t>Som unntak fra nr. 1 skal, dersom overføringskapasitet for import av elektrisitet tildeles gjennom eksplisitt kapasitetstildeling, den personen som har fått tildelt kapasitet for import, og som oppgir denne kapasiteten for import, for denne forordningens formål anses som en autorisert CBAM-</w:t>
      </w:r>
      <w:proofErr w:type="spellStart"/>
      <w:r w:rsidRPr="00576C3D">
        <w:t>deklarant</w:t>
      </w:r>
      <w:proofErr w:type="spellEnd"/>
      <w:r w:rsidRPr="00576C3D">
        <w:t xml:space="preserve"> i medlemsstaten der personen har oppgitt import av elektrisitet i tolldeklarasjonen. Import skal måles per grense for tidsperioder på høyst én time, og det skal ikke være mulig å trekke fra eksport eller transitt innenfor samme time.</w:t>
      </w:r>
    </w:p>
    <w:p w14:paraId="59BCC1F2" w14:textId="77777777" w:rsidR="005D314E" w:rsidRPr="00576C3D" w:rsidRDefault="005D314E" w:rsidP="00576C3D">
      <w:pPr>
        <w:pStyle w:val="Listeavsnitt"/>
      </w:pPr>
      <w:r w:rsidRPr="00576C3D">
        <w:t>Vedkommende myndighet i medlemsstaten der tolldeklarasjonen er inngitt, skal registrere personen i CBAM-registeret.</w:t>
      </w:r>
    </w:p>
    <w:p w14:paraId="39695A00" w14:textId="77777777" w:rsidR="005D314E" w:rsidRPr="00576C3D" w:rsidRDefault="005D314E" w:rsidP="00576C3D">
      <w:pPr>
        <w:pStyle w:val="friliste"/>
      </w:pPr>
      <w:r w:rsidRPr="00576C3D">
        <w:t>5.</w:t>
      </w:r>
      <w:r w:rsidRPr="00576C3D">
        <w:tab/>
        <w:t>En søknad om autorisasjon skal inneholde følgende opplysninger om søkeren:</w:t>
      </w:r>
    </w:p>
    <w:p w14:paraId="19AE79DC" w14:textId="77777777" w:rsidR="005D314E" w:rsidRPr="00576C3D" w:rsidRDefault="005D314E" w:rsidP="00576C3D">
      <w:pPr>
        <w:pStyle w:val="friliste2"/>
      </w:pPr>
      <w:r w:rsidRPr="00576C3D">
        <w:t>a)</w:t>
      </w:r>
      <w:r w:rsidRPr="00576C3D">
        <w:tab/>
        <w:t>Navn, adresse og kontaktopplysninger.</w:t>
      </w:r>
    </w:p>
    <w:p w14:paraId="5585A7D1" w14:textId="77777777" w:rsidR="005D314E" w:rsidRPr="00576C3D" w:rsidRDefault="005D314E" w:rsidP="00576C3D">
      <w:pPr>
        <w:pStyle w:val="friliste2"/>
      </w:pPr>
      <w:r w:rsidRPr="00576C3D">
        <w:t>b)</w:t>
      </w:r>
      <w:r w:rsidRPr="00576C3D">
        <w:tab/>
        <w:t>EORI-nummer.</w:t>
      </w:r>
    </w:p>
    <w:p w14:paraId="0383CDED" w14:textId="77777777" w:rsidR="005D314E" w:rsidRPr="00576C3D" w:rsidRDefault="005D314E" w:rsidP="00576C3D">
      <w:pPr>
        <w:pStyle w:val="friliste2"/>
      </w:pPr>
      <w:r w:rsidRPr="00576C3D">
        <w:t>c)</w:t>
      </w:r>
      <w:r w:rsidRPr="00576C3D">
        <w:tab/>
        <w:t>Viktigste økonomiske aktivitet som utøves i Unionen.</w:t>
      </w:r>
    </w:p>
    <w:p w14:paraId="727FBE22" w14:textId="77777777" w:rsidR="005D314E" w:rsidRPr="00576C3D" w:rsidRDefault="005D314E" w:rsidP="00576C3D">
      <w:pPr>
        <w:pStyle w:val="friliste2"/>
      </w:pPr>
      <w:r w:rsidRPr="00576C3D">
        <w:t>d)</w:t>
      </w:r>
      <w:r w:rsidRPr="00576C3D">
        <w:tab/>
        <w:t>Attest fra skattemyndigheten i medlemsstaten der søkeren er etablert, om at det ikke foreligger utestående krav mot søkeren som følge av at vedkommende skylder nasjonal skatt.</w:t>
      </w:r>
    </w:p>
    <w:p w14:paraId="29AE11AB" w14:textId="77777777" w:rsidR="005D314E" w:rsidRPr="00576C3D" w:rsidRDefault="005D314E" w:rsidP="00576C3D">
      <w:pPr>
        <w:pStyle w:val="friliste2"/>
      </w:pPr>
      <w:r w:rsidRPr="00576C3D">
        <w:t>e)</w:t>
      </w:r>
      <w:r w:rsidRPr="00576C3D">
        <w:tab/>
        <w:t>Søkerens forsikring på ære og samvittighet om at vedkommende ikke har vært involvert i alvorlige eller gjentatte overtredelser av tollovgivning, skatteregler eller markedsmisbruksregler i løpet av de siste fem årene før søknadsåret, herunder at det ikke er registrert alvorlige straffbare handlinger knyttet til søkerens økonomiske virksomhet.</w:t>
      </w:r>
    </w:p>
    <w:p w14:paraId="15E89594" w14:textId="77777777" w:rsidR="005D314E" w:rsidRPr="00576C3D" w:rsidRDefault="005D314E" w:rsidP="00576C3D">
      <w:pPr>
        <w:pStyle w:val="friliste2"/>
      </w:pPr>
      <w:r w:rsidRPr="00576C3D">
        <w:t>f)</w:t>
      </w:r>
      <w:r w:rsidRPr="00576C3D">
        <w:tab/>
        <w:t>Opplysninger som er nødvendige for å vise søkerens økonomiske og operasjonelle evne til å oppfylle sine forpliktelser i henhold til denne forordningen, og, dersom vedkommende myndighet beslutter å kreve det på grunnlag av en risikovurdering, dokumentasjon som bekrefter disse opplysningene, for eksempel resultatregnskap og balanse for inntil de tre siste regnskapsårene som det foreligger avsluttede regnskap for.</w:t>
      </w:r>
    </w:p>
    <w:p w14:paraId="16BF1B0C" w14:textId="77777777" w:rsidR="005D314E" w:rsidRPr="00576C3D" w:rsidRDefault="005D314E" w:rsidP="00576C3D">
      <w:pPr>
        <w:pStyle w:val="friliste2"/>
      </w:pPr>
      <w:r w:rsidRPr="00576C3D">
        <w:t>g)</w:t>
      </w:r>
      <w:r w:rsidRPr="00576C3D">
        <w:tab/>
        <w:t>Anslått pengeverdi og mengde av varer importert til Unionens tollområde etter varetype, for kalenderåret søknaden inngis og for det påfølgende kalenderåret.</w:t>
      </w:r>
    </w:p>
    <w:p w14:paraId="3C7D4B64" w14:textId="77777777" w:rsidR="005D314E" w:rsidRPr="00576C3D" w:rsidRDefault="005D314E" w:rsidP="00576C3D">
      <w:pPr>
        <w:pStyle w:val="friliste2"/>
      </w:pPr>
      <w:r w:rsidRPr="00576C3D">
        <w:t>h)</w:t>
      </w:r>
      <w:r w:rsidRPr="00576C3D">
        <w:tab/>
        <w:t>Navn og kontaktinformasjon til personene som søkeren opptrer på vegne av, om aktuelt.</w:t>
      </w:r>
    </w:p>
    <w:p w14:paraId="2DC1FF5D" w14:textId="77777777" w:rsidR="005D314E" w:rsidRPr="00576C3D" w:rsidRDefault="005D314E" w:rsidP="00576C3D">
      <w:pPr>
        <w:pStyle w:val="friliste"/>
      </w:pPr>
      <w:r w:rsidRPr="00576C3D">
        <w:t>6.</w:t>
      </w:r>
      <w:r w:rsidRPr="00576C3D">
        <w:tab/>
        <w:t>Søkeren kan når som helst trekke tilbake søknaden.</w:t>
      </w:r>
    </w:p>
    <w:p w14:paraId="066E69EE" w14:textId="77777777" w:rsidR="005D314E" w:rsidRPr="00576C3D" w:rsidRDefault="005D314E" w:rsidP="00576C3D">
      <w:pPr>
        <w:pStyle w:val="friliste"/>
      </w:pPr>
      <w:r w:rsidRPr="00576C3D">
        <w:t>7.</w:t>
      </w:r>
      <w:r w:rsidRPr="00576C3D">
        <w:tab/>
        <w:t>Den autoriserte CBAM-</w:t>
      </w:r>
      <w:proofErr w:type="spellStart"/>
      <w:r w:rsidRPr="00576C3D">
        <w:t>deklaranten</w:t>
      </w:r>
      <w:proofErr w:type="spellEnd"/>
      <w:r w:rsidRPr="00576C3D">
        <w:t xml:space="preserve"> skal uten opphold underrette vedkommende myndighet, via CBAM-registeret, om eventuelle endringer av opplysningene gitt i henhold til nr. 5 som har skjedd etter at beslutningen om å gi status som autorisert CBAM-</w:t>
      </w:r>
      <w:proofErr w:type="spellStart"/>
      <w:r w:rsidRPr="00576C3D">
        <w:t>deklarant</w:t>
      </w:r>
      <w:proofErr w:type="spellEnd"/>
      <w:r w:rsidRPr="00576C3D">
        <w:t xml:space="preserve"> er vedtatt i henhold til artikkel 17, og som kan påvirke denne beslutningen eller innholdet i autorisasjonen som er gitt i henhold til beslutningen.</w:t>
      </w:r>
    </w:p>
    <w:p w14:paraId="54E28C74" w14:textId="77777777" w:rsidR="005D314E" w:rsidRPr="00576C3D" w:rsidRDefault="005D314E" w:rsidP="00576C3D">
      <w:pPr>
        <w:pStyle w:val="friliste"/>
      </w:pPr>
      <w:r w:rsidRPr="00576C3D">
        <w:t>8.</w:t>
      </w:r>
      <w:r w:rsidRPr="00576C3D">
        <w:tab/>
        <w:t>Kommisjonen gis myndighet til å vedta gjennomføringsrettsakter om kommunikasjon mellom søkeren, vedkommende myndighet og Kommisjonen, om standardformatet for søknaden om autorisasjon og framgangsmåtene for å sende inn en slik søknad via CBAM-registeret, om framgangsmåten som skal følges av vedkommende myndighet og fristene for behandling av søknader om autorisasjon i samsvar med nr. 1, og om reglene for vedkommende myndighets identifisering av de autoriserte CBAM-</w:t>
      </w:r>
      <w:proofErr w:type="spellStart"/>
      <w:r w:rsidRPr="00576C3D">
        <w:t>deklarantene</w:t>
      </w:r>
      <w:proofErr w:type="spellEnd"/>
      <w:r w:rsidRPr="00576C3D">
        <w:t xml:space="preserve"> for import av elektrisitet. Disse gjennomføringsrettsaktene skal vedtas i samsvar med undersøkelsesprosedyren som det vises til i artikkel 29 nr. 2.</w:t>
      </w:r>
    </w:p>
    <w:p w14:paraId="12331270" w14:textId="77777777" w:rsidR="005D314E" w:rsidRPr="00576C3D" w:rsidRDefault="005D314E" w:rsidP="00576C3D">
      <w:pPr>
        <w:pStyle w:val="avsnitt-undertittel"/>
      </w:pPr>
      <w:r w:rsidRPr="00576C3D">
        <w:t>Artikkel 6</w:t>
      </w:r>
    </w:p>
    <w:p w14:paraId="4C57136D" w14:textId="77777777" w:rsidR="005D314E" w:rsidRPr="00576C3D" w:rsidRDefault="005D314E" w:rsidP="00576C3D">
      <w:pPr>
        <w:pStyle w:val="Undertittel"/>
      </w:pPr>
      <w:r w:rsidRPr="00576C3D">
        <w:t>CBAM-erklæring</w:t>
      </w:r>
    </w:p>
    <w:p w14:paraId="4391140A" w14:textId="77777777" w:rsidR="005D314E" w:rsidRPr="00576C3D" w:rsidRDefault="005D314E" w:rsidP="00576C3D">
      <w:pPr>
        <w:pStyle w:val="friliste"/>
      </w:pPr>
      <w:r w:rsidRPr="00576C3D">
        <w:t>1.</w:t>
      </w:r>
      <w:r w:rsidRPr="00576C3D">
        <w:tab/>
        <w:t>Innen 31. mai hvert år, og første gang i 2027 for 2026, skal hver autorisert CBAM-</w:t>
      </w:r>
      <w:proofErr w:type="spellStart"/>
      <w:r w:rsidRPr="00576C3D">
        <w:t>deklarant</w:t>
      </w:r>
      <w:proofErr w:type="spellEnd"/>
      <w:r w:rsidRPr="00576C3D">
        <w:t xml:space="preserve"> bruke CBAM-registeret nevnt i artikkel 14 til å framlegge en CBAM-erklæring for det foregående kalenderåret.</w:t>
      </w:r>
    </w:p>
    <w:p w14:paraId="2FBA9C80" w14:textId="77777777" w:rsidR="005D314E" w:rsidRPr="00576C3D" w:rsidRDefault="005D314E" w:rsidP="00576C3D">
      <w:pPr>
        <w:pStyle w:val="friliste"/>
      </w:pPr>
      <w:r w:rsidRPr="00576C3D">
        <w:t>2.</w:t>
      </w:r>
      <w:r w:rsidRPr="00576C3D">
        <w:tab/>
        <w:t>CBAM-erklæringen skal inneholde følgende opplysninger:</w:t>
      </w:r>
    </w:p>
    <w:p w14:paraId="25129E50" w14:textId="77777777" w:rsidR="005D314E" w:rsidRPr="00576C3D" w:rsidRDefault="005D314E" w:rsidP="00576C3D">
      <w:pPr>
        <w:pStyle w:val="friliste2"/>
      </w:pPr>
      <w:r w:rsidRPr="00576C3D">
        <w:t>a)</w:t>
      </w:r>
      <w:r w:rsidRPr="00576C3D">
        <w:tab/>
        <w:t xml:space="preserve">Den samlede mengden av hver varetype som er importert i løpet av foregående kalenderår, uttrykt i </w:t>
      </w:r>
      <w:proofErr w:type="spellStart"/>
      <w:r w:rsidRPr="00576C3D">
        <w:t>megawattimer</w:t>
      </w:r>
      <w:proofErr w:type="spellEnd"/>
      <w:r w:rsidRPr="00576C3D">
        <w:t xml:space="preserve"> for elektrisitet og i tonn for andre varer.</w:t>
      </w:r>
    </w:p>
    <w:p w14:paraId="5650254C" w14:textId="77777777" w:rsidR="005D314E" w:rsidRPr="00576C3D" w:rsidRDefault="005D314E" w:rsidP="00576C3D">
      <w:pPr>
        <w:pStyle w:val="friliste2"/>
      </w:pPr>
      <w:r w:rsidRPr="00576C3D">
        <w:t>b)</w:t>
      </w:r>
      <w:r w:rsidRPr="00576C3D">
        <w:tab/>
        <w:t>De totale innbakte utslippene i varene nevnt i bokstav a) i dette nummeret, uttrykt i tonn CO</w:t>
      </w:r>
      <w:r w:rsidRPr="00576C3D">
        <w:rPr>
          <w:rStyle w:val="skrift-senket"/>
        </w:rPr>
        <w:t>2</w:t>
      </w:r>
      <w:r w:rsidRPr="00576C3D">
        <w:t xml:space="preserve">-ekvivalenter som slippes ut per </w:t>
      </w:r>
      <w:proofErr w:type="spellStart"/>
      <w:r w:rsidRPr="00576C3D">
        <w:t>megawattime</w:t>
      </w:r>
      <w:proofErr w:type="spellEnd"/>
      <w:r w:rsidRPr="00576C3D">
        <w:t xml:space="preserve"> elektrisitet eller, for andre varer, i tonn CO</w:t>
      </w:r>
      <w:r w:rsidRPr="00576C3D">
        <w:rPr>
          <w:rStyle w:val="skrift-senket"/>
        </w:rPr>
        <w:t>2</w:t>
      </w:r>
      <w:r w:rsidRPr="00576C3D">
        <w:t>-ekvivalenter som slippes ut per tonn av hver varetype, beregnet i samsvar med artikkel 7 og verifisert i samsvar med artikkel 8.</w:t>
      </w:r>
    </w:p>
    <w:p w14:paraId="5BB3C453" w14:textId="77777777" w:rsidR="005D314E" w:rsidRPr="00576C3D" w:rsidRDefault="005D314E" w:rsidP="00576C3D">
      <w:pPr>
        <w:pStyle w:val="friliste2"/>
      </w:pPr>
      <w:r w:rsidRPr="00576C3D">
        <w:t>c)</w:t>
      </w:r>
      <w:r w:rsidRPr="00576C3D">
        <w:tab/>
        <w:t>Det totale antallet CBAM-sertifikater som skal innleveres, som tilsvarer de totale innbakte utslippene nevnt i bokstav b) i dette nummeret, etter reduksjonen som skal betales på grunn av karbonprisen som er betalt i et opprinnelsesland i samsvar med artikkel 9, og justeringen som er nødvendig for å gjenspeile i hvilken grad EU ETS-kvoter tildeles gratis i samsvar med artikkel 31.</w:t>
      </w:r>
    </w:p>
    <w:p w14:paraId="1A7F9DB0" w14:textId="77777777" w:rsidR="005D314E" w:rsidRPr="00576C3D" w:rsidRDefault="005D314E" w:rsidP="00576C3D">
      <w:pPr>
        <w:pStyle w:val="friliste2"/>
      </w:pPr>
      <w:r w:rsidRPr="00576C3D">
        <w:t>d)</w:t>
      </w:r>
      <w:r w:rsidRPr="00576C3D">
        <w:tab/>
        <w:t xml:space="preserve">Kopier av verifiseringsrapporter utstedt av akkrediterte </w:t>
      </w:r>
      <w:proofErr w:type="spellStart"/>
      <w:r w:rsidRPr="00576C3D">
        <w:t>verifikatører</w:t>
      </w:r>
      <w:proofErr w:type="spellEnd"/>
      <w:r w:rsidRPr="00576C3D">
        <w:t xml:space="preserve"> i henhold til artikkel 8 og vedlegg VI.</w:t>
      </w:r>
    </w:p>
    <w:p w14:paraId="2CD1343E" w14:textId="77777777" w:rsidR="005D314E" w:rsidRPr="00576C3D" w:rsidRDefault="005D314E" w:rsidP="00576C3D">
      <w:pPr>
        <w:pStyle w:val="friliste"/>
      </w:pPr>
      <w:r w:rsidRPr="00576C3D">
        <w:t>3.</w:t>
      </w:r>
      <w:r w:rsidRPr="00576C3D">
        <w:tab/>
        <w:t>Når bearbeidede produkter som er resultatet av en prosedyre for innenlands bearbeiding som nevnt i artikkel 256 i forordning (EU) nr. 952/2013, importeres, skal den autoriserte CBAM-</w:t>
      </w:r>
      <w:proofErr w:type="spellStart"/>
      <w:r w:rsidRPr="00576C3D">
        <w:t>deklaranten</w:t>
      </w:r>
      <w:proofErr w:type="spellEnd"/>
      <w:r w:rsidRPr="00576C3D">
        <w:t xml:space="preserve"> i CBAM-erklæringen rapportere utslippene som er innbakt i produktene som ble underlagt prosedyren for innenlands bearbeiding, og som resulterte i de importerte bearbeidede produktene, selv om de bearbeidede produktene ikke er varer som er oppført i vedlegg I til denne forordningen. Dette nummeret får også </w:t>
      </w:r>
      <w:proofErr w:type="gramStart"/>
      <w:r w:rsidRPr="00576C3D">
        <w:t>anvendelse</w:t>
      </w:r>
      <w:proofErr w:type="gramEnd"/>
      <w:r w:rsidRPr="00576C3D">
        <w:t xml:space="preserve"> dersom de bearbeidede produktene som er et resultat av prosedyren for innenlands bearbeiding, er returnerte varer som nevnt i artikkel 205 i forordning (EU) nr. 952/2013.</w:t>
      </w:r>
    </w:p>
    <w:p w14:paraId="70CDF70D" w14:textId="77777777" w:rsidR="005D314E" w:rsidRPr="00576C3D" w:rsidRDefault="005D314E" w:rsidP="00576C3D">
      <w:pPr>
        <w:pStyle w:val="friliste"/>
      </w:pPr>
      <w:r w:rsidRPr="00576C3D">
        <w:t>4.</w:t>
      </w:r>
      <w:r w:rsidRPr="00576C3D">
        <w:tab/>
        <w:t>Dersom de importerte varene oppført i vedlegg I til denne forordningen er bearbeidede produkter som er et resultat av en prosedyre for utenlands bearbeiding nevnt i artikkel 259 i forordning (EU) nr. 952/2013, skal den autoriserte CBAM-</w:t>
      </w:r>
      <w:proofErr w:type="spellStart"/>
      <w:r w:rsidRPr="00576C3D">
        <w:t>deklaranten</w:t>
      </w:r>
      <w:proofErr w:type="spellEnd"/>
      <w:r w:rsidRPr="00576C3D">
        <w:t xml:space="preserve"> i CBAM-erklæringen bare rapportere utslippene fra bearbeidingen som er foretatt utenfor Unionens tollområde.</w:t>
      </w:r>
    </w:p>
    <w:p w14:paraId="288BA755" w14:textId="77777777" w:rsidR="005D314E" w:rsidRPr="00576C3D" w:rsidRDefault="005D314E" w:rsidP="00576C3D">
      <w:pPr>
        <w:pStyle w:val="friliste"/>
      </w:pPr>
      <w:r w:rsidRPr="00576C3D">
        <w:t>5.</w:t>
      </w:r>
      <w:r w:rsidRPr="00576C3D">
        <w:tab/>
        <w:t>Når de importerte varene er returnerte varer som nevnt i artikkel 203 i forordning (EU) nr. 952/2013, skal den autoriserte CBAM-</w:t>
      </w:r>
      <w:proofErr w:type="spellStart"/>
      <w:r w:rsidRPr="00576C3D">
        <w:t>deklaranten</w:t>
      </w:r>
      <w:proofErr w:type="spellEnd"/>
      <w:r w:rsidRPr="00576C3D">
        <w:t xml:space="preserve"> i CBAM-erklæringen separat rapportere «null» for de totale innbakte utslippene som tilsvarer disse varene.</w:t>
      </w:r>
    </w:p>
    <w:p w14:paraId="109F3A3A" w14:textId="77777777" w:rsidR="005D314E" w:rsidRPr="00576C3D" w:rsidRDefault="005D314E" w:rsidP="00576C3D">
      <w:pPr>
        <w:pStyle w:val="friliste"/>
      </w:pPr>
      <w:r w:rsidRPr="00576C3D">
        <w:t>6.</w:t>
      </w:r>
      <w:r w:rsidRPr="00576C3D">
        <w:tab/>
        <w:t>Kommisjonen gis myndighet til å vedta gjennomføringsrettsakter om standardformatet for CBAM-erklæringen, herunder nærmere opplysninger for hvert anlegg og hvert opprinnelsesland og hver varetype som skal rapporteres, som underbygger de totale mengdene og tallene nevnt i nr. 2 i denne artikkelen, særlig når det gjelder innbakte utslipp og betalt karbonpris, framgangsmåten for innsending av CBAM-erklæringen via CBAM-registeret og ordningene for innlevering av CBAM-sertifikatene nevnt i nr. 2 bokstav c) i denne artikkelen, i samsvar med artikkel 22 nr. 1, særlig når det gjelder prosessen og utvelgelsen av sertifikater som skal innleveres av den autoriserte CBAM-</w:t>
      </w:r>
      <w:proofErr w:type="spellStart"/>
      <w:r w:rsidRPr="00576C3D">
        <w:t>deklaranten</w:t>
      </w:r>
      <w:proofErr w:type="spellEnd"/>
      <w:r w:rsidRPr="00576C3D">
        <w:t>. Disse gjennomføringsrettsaktene skal vedtas i samsvar med undersøkelsesprosedyren som det vises til i artikkel 29 nr. 2.</w:t>
      </w:r>
    </w:p>
    <w:p w14:paraId="47898E73" w14:textId="77777777" w:rsidR="005D314E" w:rsidRPr="00576C3D" w:rsidRDefault="005D314E" w:rsidP="00576C3D">
      <w:pPr>
        <w:pStyle w:val="avsnitt-undertittel"/>
      </w:pPr>
      <w:r w:rsidRPr="00576C3D">
        <w:t>Artikkel 7</w:t>
      </w:r>
    </w:p>
    <w:p w14:paraId="032AA148" w14:textId="77777777" w:rsidR="005D314E" w:rsidRPr="00576C3D" w:rsidRDefault="005D314E" w:rsidP="00576C3D">
      <w:pPr>
        <w:pStyle w:val="Undertittel"/>
      </w:pPr>
      <w:r w:rsidRPr="00576C3D">
        <w:t>Beregning av innbakte utslipp</w:t>
      </w:r>
    </w:p>
    <w:p w14:paraId="1579EFEC" w14:textId="77777777" w:rsidR="005D314E" w:rsidRPr="00576C3D" w:rsidRDefault="005D314E" w:rsidP="00576C3D">
      <w:pPr>
        <w:pStyle w:val="friliste"/>
      </w:pPr>
      <w:r w:rsidRPr="00576C3D">
        <w:t>1.</w:t>
      </w:r>
      <w:r w:rsidRPr="00576C3D">
        <w:tab/>
        <w:t>Innbakte utslipp i varer skal beregnes i henhold til metodene fastsatt i vedlegg IV. For varer oppført i vedlegg II skal bare direkte utslipp beregnes og tas hensyn til.</w:t>
      </w:r>
    </w:p>
    <w:p w14:paraId="01F5DD06" w14:textId="77777777" w:rsidR="005D314E" w:rsidRPr="00576C3D" w:rsidRDefault="005D314E" w:rsidP="00576C3D">
      <w:pPr>
        <w:pStyle w:val="friliste"/>
      </w:pPr>
      <w:r w:rsidRPr="00576C3D">
        <w:t>2.</w:t>
      </w:r>
      <w:r w:rsidRPr="00576C3D">
        <w:tab/>
        <w:t>Innbakte utslipp i andre varer enn elektrisitet skal fastsettes på grunnlag av de faktiske utslippene i samsvar med metodene fastsatt i nr. 2 og 3 i vedlegg IV. Når de faktiske utslippene ikke kan bestemmes på en tilfredsstillende måte, samt når det gjelder indirekte utslipp, skal de innbakte utslippene bestemmes med henvisning til standardverdier i samsvar med metodene fastsatt i vedlegg IV nr. 4.1.</w:t>
      </w:r>
    </w:p>
    <w:p w14:paraId="502CE0B5" w14:textId="77777777" w:rsidR="005D314E" w:rsidRPr="00576C3D" w:rsidRDefault="005D314E" w:rsidP="00576C3D">
      <w:pPr>
        <w:pStyle w:val="friliste"/>
      </w:pPr>
      <w:r w:rsidRPr="00576C3D">
        <w:t>3.</w:t>
      </w:r>
      <w:r w:rsidRPr="00576C3D">
        <w:tab/>
        <w:t>Innbakte utslipp i importert elektrisitet skal bestemmes ved henvisning til standardverdier i samsvar med metoden fastsatt i vedlegg IV nr. 4.2, med mindre den autoriserte CBAM-</w:t>
      </w:r>
      <w:proofErr w:type="spellStart"/>
      <w:r w:rsidRPr="00576C3D">
        <w:t>deklaranten</w:t>
      </w:r>
      <w:proofErr w:type="spellEnd"/>
      <w:r w:rsidRPr="00576C3D">
        <w:t xml:space="preserve"> godtgjør at kriteriene for å fastsette de innbakte utslippene basert på de faktiske utslippene oppført i vedlegg IV nr. 5 er oppfylt.</w:t>
      </w:r>
    </w:p>
    <w:p w14:paraId="64B55C11" w14:textId="77777777" w:rsidR="005D314E" w:rsidRPr="00576C3D" w:rsidRDefault="005D314E" w:rsidP="00576C3D">
      <w:pPr>
        <w:pStyle w:val="friliste"/>
      </w:pPr>
      <w:r w:rsidRPr="00576C3D">
        <w:t>4.</w:t>
      </w:r>
      <w:r w:rsidRPr="00576C3D">
        <w:tab/>
        <w:t>Innbakte indirekte utslipp skal beregnes i samsvar med metoden fastsatt i vedlegg IV nr. 4.3 og nærmere spesifisert i gjennomføringsrettsaktene vedtatt i henhold til nr. 7 i denne artikkelen, med mindre den autoriserte CBAM-</w:t>
      </w:r>
      <w:proofErr w:type="spellStart"/>
      <w:r w:rsidRPr="00576C3D">
        <w:t>deklaranten</w:t>
      </w:r>
      <w:proofErr w:type="spellEnd"/>
      <w:r w:rsidRPr="00576C3D">
        <w:t xml:space="preserve"> godtgjør at kriteriene for å fastsette de innbakte utslippene basert på faktiske utslipp som er oppført i vedlegg IV nr. 6, er oppfylt.</w:t>
      </w:r>
    </w:p>
    <w:p w14:paraId="1C99E0A1" w14:textId="77777777" w:rsidR="005D314E" w:rsidRPr="00576C3D" w:rsidRDefault="005D314E" w:rsidP="00576C3D">
      <w:pPr>
        <w:pStyle w:val="friliste"/>
      </w:pPr>
      <w:r w:rsidRPr="00576C3D">
        <w:t>5.</w:t>
      </w:r>
      <w:r w:rsidRPr="00576C3D">
        <w:tab/>
        <w:t>Den autoriserte CBAM-</w:t>
      </w:r>
      <w:proofErr w:type="spellStart"/>
      <w:r w:rsidRPr="00576C3D">
        <w:t>deklaranten</w:t>
      </w:r>
      <w:proofErr w:type="spellEnd"/>
      <w:r w:rsidRPr="00576C3D">
        <w:t xml:space="preserve"> skal oppbevare de opplysningene som er nødvendige for å beregne de innbakte utslippene i samsvar med kravene i vedlegg V. Denne dokumentasjonen skal være tilstrekkelig detaljert til at </w:t>
      </w:r>
      <w:proofErr w:type="spellStart"/>
      <w:r w:rsidRPr="00576C3D">
        <w:t>verifikatører</w:t>
      </w:r>
      <w:proofErr w:type="spellEnd"/>
      <w:r w:rsidRPr="00576C3D">
        <w:t xml:space="preserve"> som er akkreditert i henhold til artikkel 18, kan kontrollere de innbakte utslippene i samsvar med artikkel 8 og vedlegg VI, og til at Kommisjonen og vedkommende myndighet kan gjennomgå CBAM-erklæringen i samsvar med artikkel 19 nr. 2.</w:t>
      </w:r>
    </w:p>
    <w:p w14:paraId="564B3BE8" w14:textId="77777777" w:rsidR="005D314E" w:rsidRPr="00576C3D" w:rsidRDefault="005D314E" w:rsidP="00576C3D">
      <w:pPr>
        <w:pStyle w:val="friliste"/>
      </w:pPr>
      <w:r w:rsidRPr="00576C3D">
        <w:t>6.</w:t>
      </w:r>
      <w:r w:rsidRPr="00576C3D">
        <w:tab/>
        <w:t>Den autoriserte CBAM-</w:t>
      </w:r>
      <w:proofErr w:type="spellStart"/>
      <w:r w:rsidRPr="00576C3D">
        <w:t>deklaranten</w:t>
      </w:r>
      <w:proofErr w:type="spellEnd"/>
      <w:r w:rsidRPr="00576C3D">
        <w:t xml:space="preserve"> skal oppbevare disse opplysningene nevnt i nr. 5, herunder </w:t>
      </w:r>
      <w:proofErr w:type="spellStart"/>
      <w:r w:rsidRPr="00576C3D">
        <w:t>verifikatørens</w:t>
      </w:r>
      <w:proofErr w:type="spellEnd"/>
      <w:r w:rsidRPr="00576C3D">
        <w:t xml:space="preserve"> rapport, fram til utgangen av det fjerde året etter det året da CBAM-erklæringen ble eller burde ha blitt innlevert.</w:t>
      </w:r>
    </w:p>
    <w:p w14:paraId="1F460EB2" w14:textId="77777777" w:rsidR="005D314E" w:rsidRPr="00576C3D" w:rsidRDefault="005D314E" w:rsidP="00576C3D">
      <w:pPr>
        <w:pStyle w:val="friliste"/>
      </w:pPr>
      <w:r w:rsidRPr="00576C3D">
        <w:t>7.</w:t>
      </w:r>
      <w:r w:rsidRPr="00576C3D">
        <w:tab/>
        <w:t>Kommisjonen gis myndighet til å vedta gjennomføringsrettsakter når det gjelder</w:t>
      </w:r>
    </w:p>
    <w:p w14:paraId="5DAE8D37" w14:textId="77777777" w:rsidR="005D314E" w:rsidRPr="00576C3D" w:rsidRDefault="005D314E" w:rsidP="00576C3D">
      <w:pPr>
        <w:pStyle w:val="friliste2"/>
      </w:pPr>
      <w:r w:rsidRPr="00576C3D">
        <w:t>a)</w:t>
      </w:r>
      <w:r w:rsidRPr="00576C3D">
        <w:tab/>
        <w:t>anvendelsen av elementene i beregningsmetodene fastsatt i vedlegg IV, herunder fastsettelse av systemgrenser for produksjonsprosesser og relevante innsatsmaterialer (forløpere), utslippsfaktorer, anleggsspesifikke verdier for faktiske utslipp og standardverdier og deres respektive anvendelse på individuelle varer, samt fastsettelse av metoder for å sikre påliteligheten av data som utgjør grunnlaget for fastsettelse av standardverdiene, herunder detaljnivået og verifiseringen av dataene, og herunder ytterligere spesifisering av varer som skal anses som «enkle varer» og «sammensatte varer» med henblikk på vedlegg IV nr. 1; i disse gjennomføringsrettsaktene skal det også angis under hvilke vilkår det anses at faktiske utslipp ikke kan fastsettes på en tilfredsstillende måte, samt elementer av dokumentasjon som godtgjør at kriteriene som kreves for å rettferdiggjøre bruken av faktiske utslipp for elektrisitet som forbrukes i produksjonsprosessene for varer med henblikk på nr. 2 som er oppført i vedlegg IV nr. 5 og 6, er oppfylt, og</w:t>
      </w:r>
    </w:p>
    <w:p w14:paraId="0C6C6CEC" w14:textId="77777777" w:rsidR="005D314E" w:rsidRPr="00576C3D" w:rsidRDefault="005D314E" w:rsidP="00576C3D">
      <w:pPr>
        <w:pStyle w:val="friliste2"/>
      </w:pPr>
      <w:r w:rsidRPr="00576C3D">
        <w:t>b)</w:t>
      </w:r>
      <w:r w:rsidRPr="00576C3D">
        <w:tab/>
      </w:r>
      <w:proofErr w:type="gramStart"/>
      <w:r w:rsidRPr="00576C3D">
        <w:t>anvendelsen</w:t>
      </w:r>
      <w:proofErr w:type="gramEnd"/>
      <w:r w:rsidRPr="00576C3D">
        <w:t xml:space="preserve"> av elementene i beregningsmetodene i henhold til nr. 4 i samsvar med vedlegg IV nr. 4.3.</w:t>
      </w:r>
    </w:p>
    <w:p w14:paraId="369B4977" w14:textId="77777777" w:rsidR="005D314E" w:rsidRPr="00576C3D" w:rsidRDefault="005D314E" w:rsidP="00576C3D">
      <w:pPr>
        <w:pStyle w:val="Listeavsnitt"/>
      </w:pPr>
      <w:r w:rsidRPr="00576C3D">
        <w:t>Når det er objektivt begrunnet, skal gjennomføringsrettsaktene nevnt i første ledd fastsette at standardverdier kan tilpasses bestemte områder, regioner eller land for å ta hensyn til spesifikke objektive faktorer som påvirker utslipp, for eksempel rådende energikilder eller industriprosesser. Disse gjennomføringsrettsaktene skal bygge på eksisterende lovgivning for overvåking og verifisering av utslipps- og aktivitetsdata for anlegg som omfattes av direktiv 2003/87/EF, særlig Kommisjonens gjennomføringsforordning (EU) 2018/2066</w:t>
      </w:r>
      <w:r w:rsidRPr="00576C3D">
        <w:rPr>
          <w:rStyle w:val="Fotnotereferanse"/>
        </w:rPr>
        <w:footnoteReference w:id="24"/>
      </w:r>
      <w:r w:rsidRPr="00576C3D">
        <w:t>, gjennomføringsforordning (EU) 2018/2067 og delegert kommisjonsforordning (EU) 2019/331</w:t>
      </w:r>
      <w:r w:rsidRPr="00576C3D">
        <w:rPr>
          <w:rStyle w:val="Fotnotereferanse"/>
        </w:rPr>
        <w:footnoteReference w:id="25"/>
      </w:r>
      <w:r w:rsidRPr="00576C3D">
        <w:t>. Disse gjennomføringsrettsaktene skal vedtas i samsvar med undersøkelsesprosedyren som det vises til i artikkel 29 nr. 2 i denne forordningen.</w:t>
      </w:r>
    </w:p>
    <w:p w14:paraId="7E5E28C0" w14:textId="77777777" w:rsidR="005D314E" w:rsidRPr="00576C3D" w:rsidRDefault="005D314E" w:rsidP="00576C3D">
      <w:pPr>
        <w:pStyle w:val="avsnitt-undertittel"/>
      </w:pPr>
      <w:r w:rsidRPr="00576C3D">
        <w:t>Artikkel 8</w:t>
      </w:r>
    </w:p>
    <w:p w14:paraId="7D4E5BBC" w14:textId="77777777" w:rsidR="005D314E" w:rsidRPr="00576C3D" w:rsidRDefault="005D314E" w:rsidP="00576C3D">
      <w:pPr>
        <w:pStyle w:val="Undertittel"/>
      </w:pPr>
      <w:r w:rsidRPr="00576C3D">
        <w:t>Verifisering av innbakte utslipp</w:t>
      </w:r>
    </w:p>
    <w:p w14:paraId="42224397" w14:textId="77777777" w:rsidR="005D314E" w:rsidRPr="00576C3D" w:rsidRDefault="005D314E" w:rsidP="00576C3D">
      <w:pPr>
        <w:pStyle w:val="friliste"/>
      </w:pPr>
      <w:r w:rsidRPr="00576C3D">
        <w:t>1.</w:t>
      </w:r>
      <w:r w:rsidRPr="00576C3D">
        <w:tab/>
        <w:t>Den autoriserte CBAM-</w:t>
      </w:r>
      <w:proofErr w:type="spellStart"/>
      <w:r w:rsidRPr="00576C3D">
        <w:t>deklaranten</w:t>
      </w:r>
      <w:proofErr w:type="spellEnd"/>
      <w:r w:rsidRPr="00576C3D">
        <w:t xml:space="preserve"> skal sikre at de samlede innbakte utslippene som er oppgitt i CBAM-erklæringen framlagt i henhold til artikkel 6, verifiseres av en </w:t>
      </w:r>
      <w:proofErr w:type="spellStart"/>
      <w:r w:rsidRPr="00576C3D">
        <w:t>verifikatør</w:t>
      </w:r>
      <w:proofErr w:type="spellEnd"/>
      <w:r w:rsidRPr="00576C3D">
        <w:t xml:space="preserve"> som er akkreditert i henhold til artikkel 18, på grunnlag av verifiseringsprinsippene fastsatt i vedlegg VI.</w:t>
      </w:r>
    </w:p>
    <w:p w14:paraId="3787E148" w14:textId="77777777" w:rsidR="005D314E" w:rsidRPr="00576C3D" w:rsidRDefault="005D314E" w:rsidP="00576C3D">
      <w:pPr>
        <w:pStyle w:val="friliste"/>
      </w:pPr>
      <w:r w:rsidRPr="00576C3D">
        <w:t>2.</w:t>
      </w:r>
      <w:r w:rsidRPr="00576C3D">
        <w:tab/>
        <w:t>For innbakte utslipp i varer produsert i anlegg i et tredjeland som er registrert i samsvar med artikkel 10, kan den autoriserte CBAM-</w:t>
      </w:r>
      <w:proofErr w:type="spellStart"/>
      <w:r w:rsidRPr="00576C3D">
        <w:t>deklaranten</w:t>
      </w:r>
      <w:proofErr w:type="spellEnd"/>
      <w:r w:rsidRPr="00576C3D">
        <w:t xml:space="preserve"> velge å bruke verifiserte opplysninger som er utlevert til vedkommende i samsvar med artikkel 10 nr. 7, for å oppfylle forpliktelsen nevnt i nr. 1 i denne artikkelen.</w:t>
      </w:r>
    </w:p>
    <w:p w14:paraId="72DA506F" w14:textId="77777777" w:rsidR="005D314E" w:rsidRPr="00576C3D" w:rsidRDefault="005D314E" w:rsidP="00576C3D">
      <w:pPr>
        <w:pStyle w:val="friliste"/>
      </w:pPr>
      <w:r w:rsidRPr="00576C3D">
        <w:t>3.</w:t>
      </w:r>
      <w:r w:rsidRPr="00576C3D">
        <w:tab/>
        <w:t xml:space="preserve">Kommisjonen gis myndighet til å vedta gjennomføringsrettsakter for </w:t>
      </w:r>
      <w:proofErr w:type="gramStart"/>
      <w:r w:rsidRPr="00576C3D">
        <w:t>anvendelsen</w:t>
      </w:r>
      <w:proofErr w:type="gramEnd"/>
      <w:r w:rsidRPr="00576C3D">
        <w:t xml:space="preserve"> av verifiseringsprinsippene fastsatt i vedlegg VI når det gjelder</w:t>
      </w:r>
    </w:p>
    <w:p w14:paraId="3C4CA4E4" w14:textId="77777777" w:rsidR="005D314E" w:rsidRPr="00576C3D" w:rsidRDefault="005D314E" w:rsidP="00576C3D">
      <w:pPr>
        <w:pStyle w:val="friliste2"/>
      </w:pPr>
      <w:r w:rsidRPr="00576C3D">
        <w:t>a)</w:t>
      </w:r>
      <w:r w:rsidRPr="00576C3D">
        <w:tab/>
        <w:t xml:space="preserve">muligheten til å fravike, under behørig begrunnede omstendigheter og uten å stille en pålitelig vurdering av de innbakte utslippene i fare, </w:t>
      </w:r>
      <w:proofErr w:type="spellStart"/>
      <w:r w:rsidRPr="00576C3D">
        <w:t>verifikatørens</w:t>
      </w:r>
      <w:proofErr w:type="spellEnd"/>
      <w:r w:rsidRPr="00576C3D">
        <w:t xml:space="preserve"> plikt til å besøke anlegget der relevante varene produseres,</w:t>
      </w:r>
    </w:p>
    <w:p w14:paraId="635E8E53" w14:textId="77777777" w:rsidR="005D314E" w:rsidRPr="00576C3D" w:rsidRDefault="005D314E" w:rsidP="00576C3D">
      <w:pPr>
        <w:pStyle w:val="friliste2"/>
      </w:pPr>
      <w:r w:rsidRPr="00576C3D">
        <w:t>b)</w:t>
      </w:r>
      <w:r w:rsidRPr="00576C3D">
        <w:tab/>
        <w:t>definisjonen av terskler for å avgjøre om feilopplysninger eller avvik er vesentlige, og</w:t>
      </w:r>
    </w:p>
    <w:p w14:paraId="3D86FBA4" w14:textId="77777777" w:rsidR="005D314E" w:rsidRPr="00576C3D" w:rsidRDefault="005D314E" w:rsidP="00576C3D">
      <w:pPr>
        <w:pStyle w:val="friliste2"/>
      </w:pPr>
      <w:r w:rsidRPr="00576C3D">
        <w:t>c)</w:t>
      </w:r>
      <w:r w:rsidRPr="00576C3D">
        <w:tab/>
        <w:t>den støttedokumentasjonen som trengs for verifiseringsrapporten, inkludert formatet.</w:t>
      </w:r>
    </w:p>
    <w:p w14:paraId="7E709538" w14:textId="77777777" w:rsidR="005D314E" w:rsidRPr="00576C3D" w:rsidRDefault="005D314E" w:rsidP="00576C3D">
      <w:pPr>
        <w:pStyle w:val="Listeavsnitt"/>
      </w:pPr>
      <w:r w:rsidRPr="00576C3D">
        <w:t>Når Kommisjonen vedtar gjennomføringsrettsaktene nevnt i første ledd, skal den søke likeverdighet og samsvar med framgangsmåtene fastsatt i gjennomføringsforordning (EU) 2018/2067. Disse gjennomføringsrettsaktene skal vedtas i samsvar med undersøkelsesprosedyren nevnt i artikkel 29 nr. 2 i denne forordningen.</w:t>
      </w:r>
    </w:p>
    <w:p w14:paraId="401992F5" w14:textId="77777777" w:rsidR="005D314E" w:rsidRPr="00576C3D" w:rsidRDefault="005D314E" w:rsidP="00576C3D">
      <w:pPr>
        <w:pStyle w:val="avsnitt-undertittel"/>
      </w:pPr>
      <w:r w:rsidRPr="00576C3D">
        <w:t>Artikkel 9</w:t>
      </w:r>
    </w:p>
    <w:p w14:paraId="3027A688" w14:textId="77777777" w:rsidR="005D314E" w:rsidRPr="00576C3D" w:rsidRDefault="005D314E" w:rsidP="00576C3D">
      <w:pPr>
        <w:pStyle w:val="Undertittel"/>
      </w:pPr>
      <w:r w:rsidRPr="00576C3D">
        <w:t>Karbonpris betalt i et tredjeland</w:t>
      </w:r>
    </w:p>
    <w:p w14:paraId="7C2C8DF6" w14:textId="77777777" w:rsidR="005D314E" w:rsidRPr="00576C3D" w:rsidRDefault="005D314E" w:rsidP="00576C3D">
      <w:pPr>
        <w:pStyle w:val="friliste"/>
      </w:pPr>
      <w:r w:rsidRPr="00576C3D">
        <w:t>1.</w:t>
      </w:r>
      <w:r w:rsidRPr="00576C3D">
        <w:tab/>
        <w:t>En autorisert CBAM-</w:t>
      </w:r>
      <w:proofErr w:type="spellStart"/>
      <w:r w:rsidRPr="00576C3D">
        <w:t>deklarant</w:t>
      </w:r>
      <w:proofErr w:type="spellEnd"/>
      <w:r w:rsidRPr="00576C3D">
        <w:t xml:space="preserve"> kan i CBAM-erklæringen kreve en reduksjon i antall CBAM-sertifikater som skal innleveres, for å ta hensyn til karbonprisen som er betalt i opprinnelseslandet for de innbakte utslippene som er deklarert. Reduksjonen kan bare kreves dersom karbonprisen faktisk er betalt i opprinnelseslandet. I et slikt tilfelle skal det tas hensyn til enhver rabatt eller annen form for kompensasjon som er tilgjengelig i landet, og som ville ha ført til en reduksjon av karbonprisen.</w:t>
      </w:r>
    </w:p>
    <w:p w14:paraId="544F1F69" w14:textId="77777777" w:rsidR="005D314E" w:rsidRPr="00576C3D" w:rsidRDefault="005D314E" w:rsidP="00576C3D">
      <w:pPr>
        <w:pStyle w:val="friliste"/>
      </w:pPr>
      <w:r w:rsidRPr="00576C3D">
        <w:t>2.</w:t>
      </w:r>
      <w:r w:rsidRPr="00576C3D">
        <w:tab/>
        <w:t>Den autoriserte CBAM-</w:t>
      </w:r>
      <w:proofErr w:type="spellStart"/>
      <w:r w:rsidRPr="00576C3D">
        <w:t>deklaranten</w:t>
      </w:r>
      <w:proofErr w:type="spellEnd"/>
      <w:r w:rsidRPr="00576C3D">
        <w:t xml:space="preserve"> skal oppbevare dokumentasjonen som er nødvendig for å godtgjøre at de deklarerte innbakte utslippene var underlagt en karbonpris i opprinnelseslandet for de varene som faktisk er betalt, som nevnt i nr. 1. Den autoriserte CBAM-</w:t>
      </w:r>
      <w:proofErr w:type="spellStart"/>
      <w:r w:rsidRPr="00576C3D">
        <w:t>deklaranten</w:t>
      </w:r>
      <w:proofErr w:type="spellEnd"/>
      <w:r w:rsidRPr="00576C3D">
        <w:t xml:space="preserve"> skal særlig holde dokumentasjon knyttet til enhver rabatt eller annen form for vederlag tilgjengelig, særlig henvisninger til lovgivningen i det aktuelle landet. Opplysningene i dokumentasjonen skal sertifiseres av en person som er uavhengig av den autoriserte CBAM-</w:t>
      </w:r>
      <w:proofErr w:type="spellStart"/>
      <w:r w:rsidRPr="00576C3D">
        <w:t>deklaranten</w:t>
      </w:r>
      <w:proofErr w:type="spellEnd"/>
      <w:r w:rsidRPr="00576C3D">
        <w:t xml:space="preserve"> og av myndighetene i opprinnelseslandet. Den uavhengige personens navn og kontaktopplysninger skal være oppført på dokumentasjonen. Den autoriserte CBAM-</w:t>
      </w:r>
      <w:proofErr w:type="spellStart"/>
      <w:r w:rsidRPr="00576C3D">
        <w:t>deklaranten</w:t>
      </w:r>
      <w:proofErr w:type="spellEnd"/>
      <w:r w:rsidRPr="00576C3D">
        <w:t xml:space="preserve"> skal også oppbevare dokumentasjon for den faktiske betalingen av karbonprisen.</w:t>
      </w:r>
    </w:p>
    <w:p w14:paraId="7A74E186" w14:textId="77777777" w:rsidR="005D314E" w:rsidRPr="00576C3D" w:rsidRDefault="005D314E" w:rsidP="00576C3D">
      <w:pPr>
        <w:pStyle w:val="friliste"/>
      </w:pPr>
      <w:r w:rsidRPr="00576C3D">
        <w:t>3.</w:t>
      </w:r>
      <w:r w:rsidRPr="00576C3D">
        <w:tab/>
        <w:t>Den autoriserte CBAM-</w:t>
      </w:r>
      <w:proofErr w:type="spellStart"/>
      <w:r w:rsidRPr="00576C3D">
        <w:t>deklaranten</w:t>
      </w:r>
      <w:proofErr w:type="spellEnd"/>
      <w:r w:rsidRPr="00576C3D">
        <w:t xml:space="preserve"> skal oppbevare dokumentasjonen nevnt i nr. 2 fram til utgangen av det fjerde året etter det året der CBAM-erklæringen ble eller burde ha blitt innlevert.</w:t>
      </w:r>
    </w:p>
    <w:p w14:paraId="70FCBE79" w14:textId="77777777" w:rsidR="005D314E" w:rsidRPr="00576C3D" w:rsidRDefault="005D314E" w:rsidP="00576C3D">
      <w:pPr>
        <w:pStyle w:val="friliste"/>
      </w:pPr>
      <w:r w:rsidRPr="00576C3D">
        <w:t>4.</w:t>
      </w:r>
      <w:r w:rsidRPr="00576C3D">
        <w:tab/>
        <w:t xml:space="preserve">Kommisjonen gis myndighet til å vedta gjennomføringsrettsakter om omregning av den årlige gjennomsnittlige karbonprisen som faktisk er betalt i samsvar med nr. 1, til en tilsvarende reduksjon av antall CBAM-sertifikater som skal innleveres, herunder omregning av karbonprisen som faktisk er betalt i utenlandsk valuta til euro med den årlige gjennomsnittlige valutakursen, dokumentasjonen som kreves for at karbonprisen faktisk er betalt, eksempler på enhver relevant rabatt eller annen form for kompensasjon nevnt i nr. 1 i denne artikkelen, kvalifikasjonene til den uavhengige personen nevnt i nr. 2 i denne artikkelen og vilkårene for å fastslå </w:t>
      </w:r>
      <w:proofErr w:type="spellStart"/>
      <w:r w:rsidRPr="00576C3D">
        <w:t>vedkommendes</w:t>
      </w:r>
      <w:proofErr w:type="spellEnd"/>
      <w:r w:rsidRPr="00576C3D">
        <w:t xml:space="preserve"> uavhengighet. Disse gjennomføringsrettsaktene skal vedtas i samsvar med undersøkelsesprosedyren som det vises til i artikkel 29 nr. 2.</w:t>
      </w:r>
    </w:p>
    <w:p w14:paraId="2B241E45" w14:textId="77777777" w:rsidR="005D314E" w:rsidRPr="00576C3D" w:rsidRDefault="005D314E" w:rsidP="00576C3D">
      <w:pPr>
        <w:pStyle w:val="avsnitt-undertittel"/>
      </w:pPr>
      <w:r w:rsidRPr="00576C3D">
        <w:t>Artikkel 10</w:t>
      </w:r>
    </w:p>
    <w:p w14:paraId="23AA0FB7" w14:textId="77777777" w:rsidR="005D314E" w:rsidRPr="00576C3D" w:rsidRDefault="005D314E" w:rsidP="00576C3D">
      <w:pPr>
        <w:pStyle w:val="Undertittel"/>
      </w:pPr>
      <w:r w:rsidRPr="00576C3D">
        <w:t>Registrering av operatører og av anlegg i tredjeland</w:t>
      </w:r>
    </w:p>
    <w:p w14:paraId="4E29A05E" w14:textId="77777777" w:rsidR="005D314E" w:rsidRPr="00576C3D" w:rsidRDefault="005D314E" w:rsidP="00576C3D">
      <w:pPr>
        <w:pStyle w:val="friliste"/>
      </w:pPr>
      <w:r w:rsidRPr="00576C3D">
        <w:t>1.</w:t>
      </w:r>
      <w:r w:rsidRPr="00576C3D">
        <w:tab/>
        <w:t>Kommisjonen skal på anmodning fra en operatør av et anlegg i et tredjeland registrere opplysningene om operatøren og om anlegget i CBAM-registeret nevnt i artikkel 14.</w:t>
      </w:r>
    </w:p>
    <w:p w14:paraId="2DFA1B87" w14:textId="77777777" w:rsidR="005D314E" w:rsidRPr="00576C3D" w:rsidRDefault="005D314E" w:rsidP="00576C3D">
      <w:pPr>
        <w:pStyle w:val="friliste"/>
      </w:pPr>
      <w:r w:rsidRPr="00576C3D">
        <w:t>2.</w:t>
      </w:r>
      <w:r w:rsidRPr="00576C3D">
        <w:tab/>
        <w:t>Anmodningen om registrering i henhold til nr. 1 skal inneholde følgende opplysninger som skal inngå i CBAM-registeret ved registrering:</w:t>
      </w:r>
    </w:p>
    <w:p w14:paraId="6EFEDAAA" w14:textId="77777777" w:rsidR="005D314E" w:rsidRPr="00576C3D" w:rsidRDefault="005D314E" w:rsidP="00576C3D">
      <w:pPr>
        <w:pStyle w:val="friliste2"/>
      </w:pPr>
      <w:r w:rsidRPr="00576C3D">
        <w:t>a)</w:t>
      </w:r>
      <w:r w:rsidRPr="00576C3D">
        <w:tab/>
        <w:t>Navn på, adresse til og kontaktopplysninger for operatøren.</w:t>
      </w:r>
    </w:p>
    <w:p w14:paraId="421796AE" w14:textId="77777777" w:rsidR="005D314E" w:rsidRPr="00576C3D" w:rsidRDefault="005D314E" w:rsidP="00576C3D">
      <w:pPr>
        <w:pStyle w:val="friliste2"/>
      </w:pPr>
      <w:r w:rsidRPr="00576C3D">
        <w:t>b)</w:t>
      </w:r>
      <w:r w:rsidRPr="00576C3D">
        <w:tab/>
        <w:t>Plasseringen av hvert anlegg, herunder den fullstendige adressen og de geografiske koordinatene, uttrykt i lengdegrad og breddegrad, med seks desimaler.</w:t>
      </w:r>
    </w:p>
    <w:p w14:paraId="1DFC72D8" w14:textId="77777777" w:rsidR="005D314E" w:rsidRPr="00576C3D" w:rsidRDefault="005D314E" w:rsidP="00576C3D">
      <w:pPr>
        <w:pStyle w:val="friliste2"/>
      </w:pPr>
      <w:r w:rsidRPr="00576C3D">
        <w:t>c)</w:t>
      </w:r>
      <w:r w:rsidRPr="00576C3D">
        <w:tab/>
        <w:t>Anleggets viktigste økonomiske aktivitet.</w:t>
      </w:r>
    </w:p>
    <w:p w14:paraId="78CE95F1" w14:textId="77777777" w:rsidR="005D314E" w:rsidRPr="00576C3D" w:rsidRDefault="005D314E" w:rsidP="00576C3D">
      <w:pPr>
        <w:pStyle w:val="friliste"/>
      </w:pPr>
      <w:r w:rsidRPr="00576C3D">
        <w:t>3.</w:t>
      </w:r>
      <w:r w:rsidRPr="00576C3D">
        <w:tab/>
        <w:t>Kommisjonen skal underrette operatøren om registreringen i CBAM-registeret. Registreringen er gyldig i et tidsrom på fem år fra datoen for melding til operatøren for anlegget.</w:t>
      </w:r>
    </w:p>
    <w:p w14:paraId="285B37B6" w14:textId="77777777" w:rsidR="005D314E" w:rsidRPr="00576C3D" w:rsidRDefault="005D314E" w:rsidP="00576C3D">
      <w:pPr>
        <w:pStyle w:val="friliste"/>
      </w:pPr>
      <w:r w:rsidRPr="00576C3D">
        <w:t>4.</w:t>
      </w:r>
      <w:r w:rsidRPr="00576C3D">
        <w:tab/>
        <w:t>Operatøren skal uten opphold underrette Kommisjonen om eventuelle endringer av opplysningene nevnt i nr. 2 foretatt etter registreringen, og Kommisjonen skal oppdatere de relevante opplysningene i CBAM-registeret.</w:t>
      </w:r>
    </w:p>
    <w:p w14:paraId="4E751004" w14:textId="77777777" w:rsidR="005D314E" w:rsidRPr="00576C3D" w:rsidRDefault="005D314E" w:rsidP="00576C3D">
      <w:pPr>
        <w:pStyle w:val="friliste"/>
      </w:pPr>
      <w:r w:rsidRPr="00576C3D">
        <w:t>5.</w:t>
      </w:r>
      <w:r w:rsidRPr="00576C3D">
        <w:tab/>
        <w:t>Operatøren skal</w:t>
      </w:r>
    </w:p>
    <w:p w14:paraId="7BF44D8E" w14:textId="77777777" w:rsidR="005D314E" w:rsidRPr="00576C3D" w:rsidRDefault="005D314E" w:rsidP="00576C3D">
      <w:pPr>
        <w:pStyle w:val="friliste2"/>
      </w:pPr>
      <w:r w:rsidRPr="00576C3D">
        <w:t>a)</w:t>
      </w:r>
      <w:r w:rsidRPr="00576C3D">
        <w:tab/>
        <w:t>bestemme de innbakte utslippene beregnet i samsvar med metodene fastsatt i vedlegg IV, etter type varer produsert ved anlegget nevnt i nr. 1 i denne artikkelen,</w:t>
      </w:r>
    </w:p>
    <w:p w14:paraId="66503433" w14:textId="77777777" w:rsidR="005D314E" w:rsidRPr="00576C3D" w:rsidRDefault="005D314E" w:rsidP="00576C3D">
      <w:pPr>
        <w:pStyle w:val="friliste2"/>
      </w:pPr>
      <w:r w:rsidRPr="00576C3D">
        <w:t>b)</w:t>
      </w:r>
      <w:r w:rsidRPr="00576C3D">
        <w:tab/>
        <w:t xml:space="preserve">sikre at de innbakte utslippene omhandlet i bokstav a) i dette nummer verifiseres i samsvar med verifiseringsprinsippene i vedlegg VI av en </w:t>
      </w:r>
      <w:proofErr w:type="spellStart"/>
      <w:r w:rsidRPr="00576C3D">
        <w:t>verifikatør</w:t>
      </w:r>
      <w:proofErr w:type="spellEnd"/>
      <w:r w:rsidRPr="00576C3D">
        <w:t xml:space="preserve"> som er akkreditert i henhold til artikkel 18,</w:t>
      </w:r>
    </w:p>
    <w:p w14:paraId="2DEF6CDC" w14:textId="77777777" w:rsidR="005D314E" w:rsidRPr="00576C3D" w:rsidRDefault="005D314E" w:rsidP="00576C3D">
      <w:pPr>
        <w:pStyle w:val="friliste2"/>
      </w:pPr>
      <w:r w:rsidRPr="00576C3D">
        <w:t>c)</w:t>
      </w:r>
      <w:r w:rsidRPr="00576C3D">
        <w:tab/>
        <w:t>oppbevare en kopi av verifiseringsrapporten samt registre over opplysningene som kreves for å beregne de innbakte utslippene i varer i samsvar med kravene fastsatt i vedlegg V i et tidsrom på fire år etter at verifiseringen er utført.</w:t>
      </w:r>
    </w:p>
    <w:p w14:paraId="552FEFB7" w14:textId="77777777" w:rsidR="005D314E" w:rsidRPr="00576C3D" w:rsidRDefault="005D314E" w:rsidP="00576C3D">
      <w:pPr>
        <w:pStyle w:val="friliste"/>
      </w:pPr>
      <w:r w:rsidRPr="00576C3D">
        <w:t>6.</w:t>
      </w:r>
      <w:r w:rsidRPr="00576C3D">
        <w:tab/>
        <w:t>Registrene nevnt i nr. 5 bokstav c) i denne artikkelen skal være tilstrekkelig detaljerte til å muliggjøre verifisering av de innbakte utslippene i samsvar med artikkel 8 og vedlegg VI, og til å muliggjøre gjennomgang, i samsvar med artikkel 19, av CBAM-erklæringen som er framlagt av en autorisert CBAM-</w:t>
      </w:r>
      <w:proofErr w:type="spellStart"/>
      <w:r w:rsidRPr="00576C3D">
        <w:t>deklarant</w:t>
      </w:r>
      <w:proofErr w:type="spellEnd"/>
      <w:r w:rsidRPr="00576C3D">
        <w:t xml:space="preserve"> som de relevante opplysningene ble utlevert til i samsvar med nr. 7 i denne artikkelen.</w:t>
      </w:r>
    </w:p>
    <w:p w14:paraId="2B0C175F" w14:textId="77777777" w:rsidR="005D314E" w:rsidRPr="00576C3D" w:rsidRDefault="005D314E" w:rsidP="00576C3D">
      <w:pPr>
        <w:pStyle w:val="friliste"/>
      </w:pPr>
      <w:r w:rsidRPr="00576C3D">
        <w:t>7.</w:t>
      </w:r>
      <w:r w:rsidRPr="00576C3D">
        <w:tab/>
        <w:t>En operatør kan offentliggjøre opplysningene om verifiseringen av innbakte utslipp nevnt i nr. 5 i denne artikkelen til en autorisert CBAM-</w:t>
      </w:r>
      <w:proofErr w:type="spellStart"/>
      <w:r w:rsidRPr="00576C3D">
        <w:t>deklarant</w:t>
      </w:r>
      <w:proofErr w:type="spellEnd"/>
      <w:r w:rsidRPr="00576C3D">
        <w:t>. Den autoriserte CBAM-</w:t>
      </w:r>
      <w:proofErr w:type="spellStart"/>
      <w:r w:rsidRPr="00576C3D">
        <w:t>deklaranten</w:t>
      </w:r>
      <w:proofErr w:type="spellEnd"/>
      <w:r w:rsidRPr="00576C3D">
        <w:t xml:space="preserve"> skal ha rett til å bruke den utleverte informasjonen for å oppfylle forpliktelsen nevnt i artikkel 8.</w:t>
      </w:r>
    </w:p>
    <w:p w14:paraId="09E973D4" w14:textId="77777777" w:rsidR="005D314E" w:rsidRPr="00576C3D" w:rsidRDefault="005D314E" w:rsidP="00576C3D">
      <w:pPr>
        <w:pStyle w:val="friliste"/>
      </w:pPr>
      <w:r w:rsidRPr="00576C3D">
        <w:t>8.</w:t>
      </w:r>
      <w:r w:rsidRPr="00576C3D">
        <w:tab/>
        <w:t>Operatøren kan når som helst be om å bli avregistrert fra CBAM-registeret. Kommisjonen skal på en slik anmodning og etter å ha underrettet vedkommende myndigheter avregistrere operatøren og slette opplysningene i CBAM-registeret om vedkommende operatør og om anlegget, forutsatt at slike opplysninger ikke er nødvendige for gjennomgangen av CBAM-erklæringene som er inngitt. Kommisjonen kan, etter å ha gitt den berørte operatøren mulighet til å bli hørt og etter å ha rådført seg med de aktuelle vedkommende myndigheter, også avregistrere opplysningene dersom Kommisjonen finner at opplysningene om vedkommende operatør ikke lenger er nøyaktige. Kommisjonen skal underrette vedkommende myndigheter om slike avregistreringer.</w:t>
      </w:r>
    </w:p>
    <w:p w14:paraId="5C0D3719" w14:textId="77777777" w:rsidR="005D314E" w:rsidRPr="00576C3D" w:rsidRDefault="005D314E" w:rsidP="00576C3D">
      <w:pPr>
        <w:pStyle w:val="avsnitt-undertittel"/>
      </w:pPr>
      <w:r w:rsidRPr="00576C3D">
        <w:t>Kapittel III</w:t>
      </w:r>
    </w:p>
    <w:p w14:paraId="0207A4EF" w14:textId="77777777" w:rsidR="005D314E" w:rsidRPr="00576C3D" w:rsidRDefault="005D314E" w:rsidP="00576C3D">
      <w:pPr>
        <w:pStyle w:val="Undertittel"/>
      </w:pPr>
      <w:r w:rsidRPr="00576C3D">
        <w:t>Vedkommende myndigheter</w:t>
      </w:r>
    </w:p>
    <w:p w14:paraId="7A4F190C" w14:textId="77777777" w:rsidR="005D314E" w:rsidRPr="00576C3D" w:rsidRDefault="005D314E" w:rsidP="00576C3D">
      <w:pPr>
        <w:pStyle w:val="avsnitt-undertittel"/>
      </w:pPr>
      <w:r w:rsidRPr="00576C3D">
        <w:t>Artikkel 11</w:t>
      </w:r>
    </w:p>
    <w:p w14:paraId="4780D25A" w14:textId="77777777" w:rsidR="005D314E" w:rsidRPr="00576C3D" w:rsidRDefault="005D314E" w:rsidP="00576C3D">
      <w:pPr>
        <w:pStyle w:val="Undertittel"/>
      </w:pPr>
      <w:r w:rsidRPr="00576C3D">
        <w:t>Vedkommende myndigheter</w:t>
      </w:r>
    </w:p>
    <w:p w14:paraId="3412B451" w14:textId="77777777" w:rsidR="005D314E" w:rsidRPr="00576C3D" w:rsidRDefault="005D314E" w:rsidP="00576C3D">
      <w:pPr>
        <w:pStyle w:val="friliste"/>
      </w:pPr>
      <w:r w:rsidRPr="00576C3D">
        <w:t>1.</w:t>
      </w:r>
      <w:r w:rsidRPr="00576C3D">
        <w:tab/>
        <w:t>Hver medlemsstat skal utpeke den vedkommende myndigheten som skal utføre oppgavene og pliktene i henhold til denne forordningen, og underrette Kommisjonen om dette.</w:t>
      </w:r>
    </w:p>
    <w:p w14:paraId="4C9C574D" w14:textId="77777777" w:rsidR="005D314E" w:rsidRPr="00576C3D" w:rsidRDefault="005D314E" w:rsidP="00576C3D">
      <w:pPr>
        <w:pStyle w:val="Listeavsnitt"/>
      </w:pPr>
      <w:r w:rsidRPr="00576C3D">
        <w:t xml:space="preserve">Kommisjonen skal gjøre tilgjengelig for medlemsstatene en liste over alle vedkommende myndigheter, og offentliggjøre opplysningene i </w:t>
      </w:r>
      <w:r w:rsidRPr="00576C3D">
        <w:rPr>
          <w:rStyle w:val="kursiv"/>
        </w:rPr>
        <w:t>Den europeiske unions tidende</w:t>
      </w:r>
      <w:r w:rsidRPr="00576C3D">
        <w:t xml:space="preserve"> og gjøre dem tilgjengelige i CBAM-registeret.</w:t>
      </w:r>
    </w:p>
    <w:p w14:paraId="24CDF094" w14:textId="77777777" w:rsidR="005D314E" w:rsidRPr="00576C3D" w:rsidRDefault="005D314E" w:rsidP="00576C3D">
      <w:pPr>
        <w:pStyle w:val="friliste"/>
      </w:pPr>
      <w:r w:rsidRPr="00576C3D">
        <w:t>2.</w:t>
      </w:r>
      <w:r w:rsidRPr="00576C3D">
        <w:tab/>
        <w:t>Vedkommende myndigheter skal utveksle alle opplysninger som er vesentlige eller relevante for at de skal kunne utføre sine funksjoner og oppgaver i henhold til denne forordningen.</w:t>
      </w:r>
    </w:p>
    <w:p w14:paraId="0B931BCF" w14:textId="77777777" w:rsidR="005D314E" w:rsidRPr="00576C3D" w:rsidRDefault="005D314E" w:rsidP="00576C3D">
      <w:pPr>
        <w:pStyle w:val="avsnitt-undertittel"/>
      </w:pPr>
      <w:r w:rsidRPr="00576C3D">
        <w:t>Artikkel 12</w:t>
      </w:r>
    </w:p>
    <w:p w14:paraId="259E96F6" w14:textId="77777777" w:rsidR="005D314E" w:rsidRPr="00576C3D" w:rsidRDefault="005D314E" w:rsidP="00576C3D">
      <w:pPr>
        <w:pStyle w:val="Undertittel"/>
      </w:pPr>
      <w:r w:rsidRPr="00576C3D">
        <w:t>Kommisjonen</w:t>
      </w:r>
    </w:p>
    <w:p w14:paraId="50122F23" w14:textId="77777777" w:rsidR="005D314E" w:rsidRPr="00576C3D" w:rsidRDefault="005D314E" w:rsidP="00576C3D">
      <w:r w:rsidRPr="00576C3D">
        <w:t>I tillegg til de øvrige oppgavene som den utfører i henhold til denne forordningen, skal Kommisjonen bistå vedkommende myndigheter med å utføre deres oppgaver og plikter i henhold til denne forordningen, og skal samordne sin virksomhet ved å støtte utveksling av og utstedelse av retningslinjer for beste praksis som omfattes av denne forordningen, og ved å fremme tilstrekkelig informasjonsutveksling og samarbeid mellom vedkommende myndigheter samt mellom vedkommende myndigheter og Kommisjonen.</w:t>
      </w:r>
    </w:p>
    <w:p w14:paraId="64A72E66" w14:textId="77777777" w:rsidR="005D314E" w:rsidRPr="00576C3D" w:rsidRDefault="005D314E" w:rsidP="00576C3D">
      <w:pPr>
        <w:pStyle w:val="avsnitt-undertittel"/>
      </w:pPr>
      <w:r w:rsidRPr="00576C3D">
        <w:t>Artikkel 13</w:t>
      </w:r>
    </w:p>
    <w:p w14:paraId="7CABF357" w14:textId="77777777" w:rsidR="005D314E" w:rsidRPr="00576C3D" w:rsidRDefault="005D314E" w:rsidP="00576C3D">
      <w:pPr>
        <w:pStyle w:val="Undertittel"/>
      </w:pPr>
      <w:r w:rsidRPr="00576C3D">
        <w:t>Taushetsplikt og offentliggjøring av opplysninger</w:t>
      </w:r>
    </w:p>
    <w:p w14:paraId="6BA34D35" w14:textId="77777777" w:rsidR="005D314E" w:rsidRPr="00576C3D" w:rsidRDefault="005D314E" w:rsidP="00576C3D">
      <w:pPr>
        <w:pStyle w:val="friliste"/>
      </w:pPr>
      <w:r w:rsidRPr="00576C3D">
        <w:t>1.</w:t>
      </w:r>
      <w:r w:rsidRPr="00576C3D">
        <w:tab/>
        <w:t>Alle opplysninger som vedkommende myndighet eller Kommisjonen innhenter under utførelsen av sine oppgaver, og som etter sin art er fortrolige eller gis på fortrolig grunnlag, skal omfattes av taushetsplikt. Slike opplysninger skal ikke gis videre av vedkommende myndighet eller Kommisjonen uten uttrykkelig forhåndstillatelse fra den personen eller myndigheten som har gitt dem, eller i henhold til unionsretten eller nasjonal rett.</w:t>
      </w:r>
    </w:p>
    <w:p w14:paraId="72D5ED27" w14:textId="77777777" w:rsidR="005D314E" w:rsidRPr="00576C3D" w:rsidRDefault="005D314E" w:rsidP="00576C3D">
      <w:pPr>
        <w:pStyle w:val="friliste"/>
      </w:pPr>
      <w:r w:rsidRPr="00576C3D">
        <w:t>2.</w:t>
      </w:r>
      <w:r w:rsidRPr="00576C3D">
        <w:tab/>
        <w:t xml:space="preserve">Som unntak fra nr. 1 kan vedkommende myndigheter og Kommisjonen dele slike opplysninger med hverandre, tollmyndighetene, myndighetene som har ansvar for administrative eller strafferettslige sanksjoner, og Den europeiske påtalemyndighet, for å sikre at personer oppfyller sine forpliktelser i henhold til denne forordningen og </w:t>
      </w:r>
      <w:proofErr w:type="gramStart"/>
      <w:r w:rsidRPr="00576C3D">
        <w:t>anvendelsen</w:t>
      </w:r>
      <w:proofErr w:type="gramEnd"/>
      <w:r w:rsidRPr="00576C3D">
        <w:t xml:space="preserve"> av tollovgivningen. Slike opplysninger som deles skal være omfattet av taushetsplikten, og kan ikke gis videre til noen annen person eller myndighet, bortsett fra i henhold til bestemmelser i unionsretten eller nasjonal rett.</w:t>
      </w:r>
    </w:p>
    <w:p w14:paraId="13F7D799" w14:textId="77777777" w:rsidR="005D314E" w:rsidRPr="00576C3D" w:rsidRDefault="005D314E" w:rsidP="00576C3D">
      <w:pPr>
        <w:pStyle w:val="avsnitt-undertittel"/>
      </w:pPr>
      <w:r w:rsidRPr="00576C3D">
        <w:t>Artikkel 14</w:t>
      </w:r>
    </w:p>
    <w:p w14:paraId="2616C7C0" w14:textId="77777777" w:rsidR="005D314E" w:rsidRPr="00576C3D" w:rsidRDefault="005D314E" w:rsidP="00576C3D">
      <w:pPr>
        <w:pStyle w:val="Undertittel"/>
      </w:pPr>
      <w:r w:rsidRPr="00576C3D">
        <w:t>CBAM-register</w:t>
      </w:r>
    </w:p>
    <w:p w14:paraId="52F9C8F2" w14:textId="77777777" w:rsidR="005D314E" w:rsidRPr="00576C3D" w:rsidRDefault="005D314E" w:rsidP="00576C3D">
      <w:pPr>
        <w:pStyle w:val="friliste"/>
      </w:pPr>
      <w:r w:rsidRPr="00576C3D">
        <w:t>1.</w:t>
      </w:r>
      <w:r w:rsidRPr="00576C3D">
        <w:tab/>
        <w:t>Kommisjonen skal opprette et CBAM-register over autoriserte CBAM-</w:t>
      </w:r>
      <w:proofErr w:type="spellStart"/>
      <w:r w:rsidRPr="00576C3D">
        <w:t>deklaranter</w:t>
      </w:r>
      <w:proofErr w:type="spellEnd"/>
      <w:r w:rsidRPr="00576C3D">
        <w:t xml:space="preserve"> i form av en standardisert elektronisk database som inneholder opplysninger om CBAM-sertifikatene for disse autoriserte CBAM-</w:t>
      </w:r>
      <w:proofErr w:type="spellStart"/>
      <w:r w:rsidRPr="00576C3D">
        <w:t>deklarantene</w:t>
      </w:r>
      <w:proofErr w:type="spellEnd"/>
      <w:r w:rsidRPr="00576C3D">
        <w:t>. Kommisjonen skal gjøre opplysningene i CBAM-registeret tilgjengelig automatisk og i sanntid for tollmyndigheter og vedkommende myndigheter.</w:t>
      </w:r>
    </w:p>
    <w:p w14:paraId="539ECE98" w14:textId="77777777" w:rsidR="005D314E" w:rsidRPr="00576C3D" w:rsidRDefault="005D314E" w:rsidP="00576C3D">
      <w:pPr>
        <w:pStyle w:val="friliste"/>
      </w:pPr>
      <w:r w:rsidRPr="00576C3D">
        <w:t>2.</w:t>
      </w:r>
      <w:r w:rsidRPr="00576C3D">
        <w:tab/>
        <w:t>CBAM-registeret nevnt i nr. 1 skal inneholde kontoer med opplysninger om hver autorisert CBAM-</w:t>
      </w:r>
      <w:proofErr w:type="spellStart"/>
      <w:r w:rsidRPr="00576C3D">
        <w:t>deklarant</w:t>
      </w:r>
      <w:proofErr w:type="spellEnd"/>
      <w:r w:rsidRPr="00576C3D">
        <w:t>, særlig</w:t>
      </w:r>
    </w:p>
    <w:p w14:paraId="0E687F87" w14:textId="77777777" w:rsidR="005D314E" w:rsidRPr="00576C3D" w:rsidRDefault="005D314E" w:rsidP="00576C3D">
      <w:pPr>
        <w:pStyle w:val="friliste2"/>
      </w:pPr>
      <w:r w:rsidRPr="00576C3D">
        <w:t>a)</w:t>
      </w:r>
      <w:r w:rsidRPr="00576C3D">
        <w:tab/>
        <w:t>navn på, adresse til og kontaktopplysninger for den autoriserte CBAM-</w:t>
      </w:r>
      <w:proofErr w:type="spellStart"/>
      <w:r w:rsidRPr="00576C3D">
        <w:t>deklaranten</w:t>
      </w:r>
      <w:proofErr w:type="spellEnd"/>
      <w:r w:rsidRPr="00576C3D">
        <w:t>,</w:t>
      </w:r>
    </w:p>
    <w:p w14:paraId="59F11D82" w14:textId="77777777" w:rsidR="005D314E" w:rsidRPr="00576C3D" w:rsidRDefault="005D314E" w:rsidP="00576C3D">
      <w:pPr>
        <w:pStyle w:val="friliste2"/>
      </w:pPr>
      <w:r w:rsidRPr="00576C3D">
        <w:t>b)</w:t>
      </w:r>
      <w:r w:rsidRPr="00576C3D">
        <w:tab/>
        <w:t>EORI-nummeret til den autoriserte CBAM-</w:t>
      </w:r>
      <w:proofErr w:type="spellStart"/>
      <w:r w:rsidRPr="00576C3D">
        <w:t>deklaranten</w:t>
      </w:r>
      <w:proofErr w:type="spellEnd"/>
      <w:r w:rsidRPr="00576C3D">
        <w:t>,</w:t>
      </w:r>
    </w:p>
    <w:p w14:paraId="1205D84D" w14:textId="77777777" w:rsidR="005D314E" w:rsidRPr="00576C3D" w:rsidRDefault="005D314E" w:rsidP="00576C3D">
      <w:pPr>
        <w:pStyle w:val="friliste2"/>
      </w:pPr>
      <w:r w:rsidRPr="00576C3D">
        <w:t>c)</w:t>
      </w:r>
      <w:r w:rsidRPr="00576C3D">
        <w:tab/>
        <w:t>CBAM-kontonummeret,</w:t>
      </w:r>
    </w:p>
    <w:p w14:paraId="0547ADCF" w14:textId="77777777" w:rsidR="005D314E" w:rsidRPr="00576C3D" w:rsidRDefault="005D314E" w:rsidP="00576C3D">
      <w:pPr>
        <w:pStyle w:val="friliste2"/>
      </w:pPr>
      <w:r w:rsidRPr="00576C3D">
        <w:t>d)</w:t>
      </w:r>
      <w:r w:rsidRPr="00576C3D">
        <w:tab/>
        <w:t>identifikasjonsnummeret, salgsprisen, salgsdatoen og datoen for innlevering, tilbakekjøp eller sletting av CBAM-sertifikater for hver autorisert CBAM-</w:t>
      </w:r>
      <w:proofErr w:type="spellStart"/>
      <w:r w:rsidRPr="00576C3D">
        <w:t>deklarant</w:t>
      </w:r>
      <w:proofErr w:type="spellEnd"/>
      <w:r w:rsidRPr="00576C3D">
        <w:t>.</w:t>
      </w:r>
    </w:p>
    <w:p w14:paraId="29E39BA4" w14:textId="77777777" w:rsidR="005D314E" w:rsidRPr="00576C3D" w:rsidRDefault="005D314E" w:rsidP="00576C3D">
      <w:pPr>
        <w:pStyle w:val="friliste"/>
      </w:pPr>
      <w:r w:rsidRPr="00576C3D">
        <w:t>3.</w:t>
      </w:r>
      <w:r w:rsidRPr="00576C3D">
        <w:tab/>
        <w:t>CBAM-registeret skal i en egen del inneholde opplysninger om operatører og anlegg i tredjeland som er registrert i samsvar med artikkel 10 nr. 2.</w:t>
      </w:r>
    </w:p>
    <w:p w14:paraId="1BD6BA52" w14:textId="77777777" w:rsidR="005D314E" w:rsidRPr="00576C3D" w:rsidRDefault="005D314E" w:rsidP="00576C3D">
      <w:pPr>
        <w:pStyle w:val="friliste"/>
      </w:pPr>
      <w:r w:rsidRPr="00576C3D">
        <w:t>4.</w:t>
      </w:r>
      <w:r w:rsidRPr="00576C3D">
        <w:tab/>
        <w:t>Opplysningene i CBAM-registeret nevnt i nr. 2 og 3 skal være konfidensielle, med unntak av navnene på, adressene til og kontaktopplysningene til operatørene og plasseringen av anlegg i tredjeland. En operatør kan velge å ikke få sitt navn, sin adresse og sine kontaktopplysninger gjort tilgjengelig for allmennheten. Den offentlige informasjonen i CBAM-registeret skal gjøres tilgjengelig av Kommisjonen i et interoperabelt format.</w:t>
      </w:r>
    </w:p>
    <w:p w14:paraId="17B6AA2B" w14:textId="77777777" w:rsidR="005D314E" w:rsidRPr="00576C3D" w:rsidRDefault="005D314E" w:rsidP="00576C3D">
      <w:pPr>
        <w:pStyle w:val="friliste"/>
      </w:pPr>
      <w:r w:rsidRPr="00576C3D">
        <w:t>5.</w:t>
      </w:r>
      <w:r w:rsidRPr="00576C3D">
        <w:tab/>
        <w:t>Kommisjonen skal hvert år for hver av varene som er oppført i vedlegg I, offentliggjøre de samlede utslippene som er innbakt i de importerte varene.</w:t>
      </w:r>
    </w:p>
    <w:p w14:paraId="55AAE6F2" w14:textId="77777777" w:rsidR="005D314E" w:rsidRPr="00576C3D" w:rsidRDefault="005D314E" w:rsidP="00576C3D">
      <w:pPr>
        <w:pStyle w:val="friliste"/>
      </w:pPr>
      <w:r w:rsidRPr="00576C3D">
        <w:t>6.</w:t>
      </w:r>
      <w:r w:rsidRPr="00576C3D">
        <w:tab/>
        <w:t xml:space="preserve">Kommisjonen skal vedta gjennomføringsrettsakter for infrastrukturen og de spesifikke prosessene og framgangsmåtene i CBAM-registeret, herunder risikoanalysen nevnt i artikkel 15, de elektroniske databasene som inneholder opplysningene nevnt i nr. 2 og 3 i denne artikkelen, opplysningene om kontoene i CBAM-registeret nevnt i artikkel 16, overføringen til CBAM-registeret av opplysningene om salg, tilbakekjøp og sletting av CBAM-sertifikater nevnt i artikkel 20 og </w:t>
      </w:r>
      <w:proofErr w:type="spellStart"/>
      <w:r w:rsidRPr="00576C3D">
        <w:t>krysssjekkingen</w:t>
      </w:r>
      <w:proofErr w:type="spellEnd"/>
      <w:r w:rsidRPr="00576C3D">
        <w:t xml:space="preserve"> av opplysningene nevnt i artikkel 25 nr. 3. Disse gjennomføringsrettsaktene skal vedtas i samsvar med undersøkelsesprosedyren som det vises til i artikkel 29 nr. 2.</w:t>
      </w:r>
    </w:p>
    <w:p w14:paraId="186ABC04" w14:textId="77777777" w:rsidR="005D314E" w:rsidRPr="00576C3D" w:rsidRDefault="005D314E" w:rsidP="00576C3D">
      <w:pPr>
        <w:pStyle w:val="avsnitt-undertittel"/>
      </w:pPr>
      <w:r w:rsidRPr="00576C3D">
        <w:t>Artikkel 15</w:t>
      </w:r>
    </w:p>
    <w:p w14:paraId="51BBA0B8" w14:textId="77777777" w:rsidR="005D314E" w:rsidRPr="00576C3D" w:rsidRDefault="005D314E" w:rsidP="00576C3D">
      <w:pPr>
        <w:pStyle w:val="Undertittel"/>
      </w:pPr>
      <w:r w:rsidRPr="00576C3D">
        <w:t>Risikoanalyse</w:t>
      </w:r>
    </w:p>
    <w:p w14:paraId="2611A6AF" w14:textId="77777777" w:rsidR="005D314E" w:rsidRPr="00576C3D" w:rsidRDefault="005D314E" w:rsidP="00576C3D">
      <w:pPr>
        <w:pStyle w:val="friliste"/>
      </w:pPr>
      <w:r w:rsidRPr="00576C3D">
        <w:t>1.</w:t>
      </w:r>
      <w:r w:rsidRPr="00576C3D">
        <w:tab/>
        <w:t>Kommisjonen skal foreta risikobaserte kontroller av opplysningene og transaksjonene som er registrert i CBAM-registeret nevnt i artikkel 14, for å sikre at det ikke forekommer uregelmessigheter i forbindelse med kjøp, besittelse, innlevering, tilbakekjøp og sletting av CBAM-sertifikater.</w:t>
      </w:r>
    </w:p>
    <w:p w14:paraId="0E345A60" w14:textId="77777777" w:rsidR="005D314E" w:rsidRPr="00576C3D" w:rsidRDefault="005D314E" w:rsidP="00576C3D">
      <w:pPr>
        <w:pStyle w:val="friliste"/>
      </w:pPr>
      <w:r w:rsidRPr="00576C3D">
        <w:t>2.</w:t>
      </w:r>
      <w:r w:rsidRPr="00576C3D">
        <w:tab/>
        <w:t>Dersom Kommisjonen oppdager uregelmessigheter som følge av kontrollene i henhold til nr. 1, skal den underrette de berørte vedkommende myndigheter om dette, slik at det kan foretas ytterligere undersøkelser for å korrigere de identifiserte uregelmessighetene.</w:t>
      </w:r>
    </w:p>
    <w:p w14:paraId="097BBD57" w14:textId="77777777" w:rsidR="005D314E" w:rsidRPr="00576C3D" w:rsidRDefault="005D314E" w:rsidP="00576C3D">
      <w:pPr>
        <w:pStyle w:val="avsnitt-undertittel"/>
      </w:pPr>
      <w:r w:rsidRPr="00576C3D">
        <w:t>Artikkel 16</w:t>
      </w:r>
    </w:p>
    <w:p w14:paraId="6B1B6960" w14:textId="77777777" w:rsidR="005D314E" w:rsidRPr="00576C3D" w:rsidRDefault="005D314E" w:rsidP="00576C3D">
      <w:pPr>
        <w:pStyle w:val="Undertittel"/>
      </w:pPr>
      <w:r w:rsidRPr="00576C3D">
        <w:t>Kontoer i CBAM-registeret</w:t>
      </w:r>
    </w:p>
    <w:p w14:paraId="15A67F9D" w14:textId="77777777" w:rsidR="005D314E" w:rsidRPr="00576C3D" w:rsidRDefault="005D314E" w:rsidP="00576C3D">
      <w:pPr>
        <w:pStyle w:val="friliste"/>
      </w:pPr>
      <w:r w:rsidRPr="00576C3D">
        <w:t>1.</w:t>
      </w:r>
      <w:r w:rsidRPr="00576C3D">
        <w:tab/>
        <w:t>Kommisjonen skal tildele hver autorisert CBAM-</w:t>
      </w:r>
      <w:proofErr w:type="spellStart"/>
      <w:r w:rsidRPr="00576C3D">
        <w:t>deklarant</w:t>
      </w:r>
      <w:proofErr w:type="spellEnd"/>
      <w:r w:rsidRPr="00576C3D">
        <w:t xml:space="preserve"> et unikt CBAM-kontonummer.</w:t>
      </w:r>
    </w:p>
    <w:p w14:paraId="2F7A67B4" w14:textId="77777777" w:rsidR="005D314E" w:rsidRPr="00576C3D" w:rsidRDefault="005D314E" w:rsidP="00576C3D">
      <w:pPr>
        <w:pStyle w:val="friliste"/>
      </w:pPr>
      <w:r w:rsidRPr="00576C3D">
        <w:t>2.</w:t>
      </w:r>
      <w:r w:rsidRPr="00576C3D">
        <w:tab/>
        <w:t>Hver autorisert CBAM-</w:t>
      </w:r>
      <w:proofErr w:type="spellStart"/>
      <w:r w:rsidRPr="00576C3D">
        <w:t>deklarant</w:t>
      </w:r>
      <w:proofErr w:type="spellEnd"/>
      <w:r w:rsidRPr="00576C3D">
        <w:t xml:space="preserve"> skal gis tilgang til sin konto i CBAM-registeret.</w:t>
      </w:r>
    </w:p>
    <w:p w14:paraId="05E92AAD" w14:textId="77777777" w:rsidR="005D314E" w:rsidRPr="00576C3D" w:rsidRDefault="005D314E" w:rsidP="00576C3D">
      <w:pPr>
        <w:pStyle w:val="friliste"/>
      </w:pPr>
      <w:r w:rsidRPr="00576C3D">
        <w:t>3.</w:t>
      </w:r>
      <w:r w:rsidRPr="00576C3D">
        <w:tab/>
        <w:t>Kommisjonen skal opprette kontoen så snart autorisasjonen nevnt i artikkel 17 nr. 1 er innvilget, og skal underrette den autoriserte CBAM-</w:t>
      </w:r>
      <w:proofErr w:type="spellStart"/>
      <w:r w:rsidRPr="00576C3D">
        <w:t>deklaranten</w:t>
      </w:r>
      <w:proofErr w:type="spellEnd"/>
      <w:r w:rsidRPr="00576C3D">
        <w:t xml:space="preserve"> om dette.</w:t>
      </w:r>
    </w:p>
    <w:p w14:paraId="5D16F0DC" w14:textId="77777777" w:rsidR="005D314E" w:rsidRPr="00576C3D" w:rsidRDefault="005D314E" w:rsidP="00576C3D">
      <w:pPr>
        <w:pStyle w:val="friliste"/>
      </w:pPr>
      <w:r w:rsidRPr="00576C3D">
        <w:t>4.</w:t>
      </w:r>
      <w:r w:rsidRPr="00576C3D">
        <w:tab/>
        <w:t>Dersom den autoriserte CBAM-</w:t>
      </w:r>
      <w:proofErr w:type="spellStart"/>
      <w:r w:rsidRPr="00576C3D">
        <w:t>deklaranten</w:t>
      </w:r>
      <w:proofErr w:type="spellEnd"/>
      <w:r w:rsidRPr="00576C3D">
        <w:t xml:space="preserve"> har innstilt sin økonomiske virksomhet eller autorisasjonen er blitt tilbakekalt, skal Kommisjonen avslutte kontoen til den autoriserte CBAM-</w:t>
      </w:r>
      <w:proofErr w:type="spellStart"/>
      <w:r w:rsidRPr="00576C3D">
        <w:t>deklaranten</w:t>
      </w:r>
      <w:proofErr w:type="spellEnd"/>
      <w:r w:rsidRPr="00576C3D">
        <w:t>, forutsatt at den autoriserte CBAM-</w:t>
      </w:r>
      <w:proofErr w:type="spellStart"/>
      <w:r w:rsidRPr="00576C3D">
        <w:t>deklaranten</w:t>
      </w:r>
      <w:proofErr w:type="spellEnd"/>
      <w:r w:rsidRPr="00576C3D">
        <w:t xml:space="preserve"> har oppfylt alle sine forpliktelser i henhold til denne forordningen.</w:t>
      </w:r>
    </w:p>
    <w:p w14:paraId="542302BC" w14:textId="77777777" w:rsidR="005D314E" w:rsidRPr="00576C3D" w:rsidRDefault="005D314E" w:rsidP="00576C3D">
      <w:pPr>
        <w:pStyle w:val="avsnitt-undertittel"/>
      </w:pPr>
      <w:r w:rsidRPr="00576C3D">
        <w:t>Artikkel 17</w:t>
      </w:r>
    </w:p>
    <w:p w14:paraId="5E2CC5D4" w14:textId="77777777" w:rsidR="005D314E" w:rsidRPr="00576C3D" w:rsidRDefault="005D314E" w:rsidP="00576C3D">
      <w:pPr>
        <w:pStyle w:val="Undertittel"/>
      </w:pPr>
      <w:r w:rsidRPr="00576C3D">
        <w:t>Autorisasjon</w:t>
      </w:r>
    </w:p>
    <w:p w14:paraId="76AE468E" w14:textId="77777777" w:rsidR="005D314E" w:rsidRPr="00576C3D" w:rsidRDefault="005D314E" w:rsidP="00576C3D">
      <w:pPr>
        <w:pStyle w:val="friliste"/>
      </w:pPr>
      <w:r w:rsidRPr="00576C3D">
        <w:t>1.</w:t>
      </w:r>
      <w:r w:rsidRPr="00576C3D">
        <w:tab/>
        <w:t>Når en søknad om autorisasjon inngis i samsvar med artikkel 5, skal vedkommende myndighet i medlemsstaten der søkeren er etablert, tildele status som autorisert CBAM-</w:t>
      </w:r>
      <w:proofErr w:type="spellStart"/>
      <w:r w:rsidRPr="00576C3D">
        <w:t>deklarant</w:t>
      </w:r>
      <w:proofErr w:type="spellEnd"/>
      <w:r w:rsidRPr="00576C3D">
        <w:t>, forutsatt at kriteriene fastsatt i nr. 2 i denne artikkelen oppfylles. Status som autorisert CBAM-</w:t>
      </w:r>
      <w:proofErr w:type="spellStart"/>
      <w:r w:rsidRPr="00576C3D">
        <w:t>deklarant</w:t>
      </w:r>
      <w:proofErr w:type="spellEnd"/>
      <w:r w:rsidRPr="00576C3D">
        <w:t xml:space="preserve"> skal anerkjennes i alle medlemsstater.</w:t>
      </w:r>
    </w:p>
    <w:p w14:paraId="16D5AF0C" w14:textId="77777777" w:rsidR="005D314E" w:rsidRPr="00576C3D" w:rsidRDefault="005D314E" w:rsidP="00576C3D">
      <w:pPr>
        <w:pStyle w:val="Listeavsnitt"/>
      </w:pPr>
      <w:r w:rsidRPr="00576C3D">
        <w:t>Før vedkommende myndighet tildeler status som autorisert CBAM-</w:t>
      </w:r>
      <w:proofErr w:type="spellStart"/>
      <w:r w:rsidRPr="00576C3D">
        <w:t>deklarant</w:t>
      </w:r>
      <w:proofErr w:type="spellEnd"/>
      <w:r w:rsidRPr="00576C3D">
        <w:t>, skal den gjennomføre en høringsprosedyre om søknaden om autorisasjon via CBAM-registeret. Høringsprosedyren skal omfatte vedkommende myndigheter i de andre medlemsstatene og Kommisjonen, og skal ikke overstige 15 virkedager.</w:t>
      </w:r>
    </w:p>
    <w:p w14:paraId="1EA923C5" w14:textId="77777777" w:rsidR="005D314E" w:rsidRPr="00576C3D" w:rsidRDefault="005D314E" w:rsidP="00576C3D">
      <w:pPr>
        <w:pStyle w:val="friliste"/>
      </w:pPr>
      <w:r w:rsidRPr="00576C3D">
        <w:t>2.</w:t>
      </w:r>
      <w:r w:rsidRPr="00576C3D">
        <w:tab/>
        <w:t>Kriteriene for å tildele status som autorisert CBAM-</w:t>
      </w:r>
      <w:proofErr w:type="spellStart"/>
      <w:r w:rsidRPr="00576C3D">
        <w:t>deklarant</w:t>
      </w:r>
      <w:proofErr w:type="spellEnd"/>
      <w:r w:rsidRPr="00576C3D">
        <w:t xml:space="preserve"> skal være følgende:</w:t>
      </w:r>
    </w:p>
    <w:p w14:paraId="59CE102F" w14:textId="77777777" w:rsidR="005D314E" w:rsidRPr="00576C3D" w:rsidRDefault="005D314E" w:rsidP="00576C3D">
      <w:pPr>
        <w:pStyle w:val="friliste2"/>
      </w:pPr>
      <w:r w:rsidRPr="00576C3D">
        <w:t>a)</w:t>
      </w:r>
      <w:r w:rsidRPr="00576C3D">
        <w:tab/>
        <w:t>Søkeren har ikke vært involvert i en alvorlig overtredelse eller i gjentatte overtredelser av tollovgivning, skatteregler, markedsmisbruksregler eller denne forordningen og delegerte rettsakter og gjennomføringsrettsakter vedtatt i henhold til denne forordningen, og særlig er det ikke registrert alvorlige straffbare handlinger knyttet til søkerens økonomiske virksomhet i løpet av de siste fem årene før søknaden.</w:t>
      </w:r>
    </w:p>
    <w:p w14:paraId="514FD030" w14:textId="77777777" w:rsidR="005D314E" w:rsidRPr="00576C3D" w:rsidRDefault="005D314E" w:rsidP="00576C3D">
      <w:pPr>
        <w:pStyle w:val="friliste2"/>
      </w:pPr>
      <w:r w:rsidRPr="00576C3D">
        <w:t>b)</w:t>
      </w:r>
      <w:r w:rsidRPr="00576C3D">
        <w:tab/>
        <w:t>Søkeren dokumenterer sin økonomiske og operasjonelle evne til å oppfylle forpliktelsene i henhold til denne forordningen.</w:t>
      </w:r>
    </w:p>
    <w:p w14:paraId="7DF2979A" w14:textId="77777777" w:rsidR="005D314E" w:rsidRPr="00576C3D" w:rsidRDefault="005D314E" w:rsidP="00576C3D">
      <w:pPr>
        <w:pStyle w:val="friliste2"/>
      </w:pPr>
      <w:r w:rsidRPr="00576C3D">
        <w:t>c)</w:t>
      </w:r>
      <w:r w:rsidRPr="00576C3D">
        <w:tab/>
        <w:t>Søkeren er etablert i medlemsstaten der søknaden inngis.</w:t>
      </w:r>
    </w:p>
    <w:p w14:paraId="5EAEEACD" w14:textId="77777777" w:rsidR="005D314E" w:rsidRPr="00576C3D" w:rsidRDefault="005D314E" w:rsidP="00576C3D">
      <w:pPr>
        <w:pStyle w:val="friliste2"/>
      </w:pPr>
      <w:r w:rsidRPr="00576C3D">
        <w:t>d)</w:t>
      </w:r>
      <w:r w:rsidRPr="00576C3D">
        <w:tab/>
        <w:t>Søkeren har fått tildelt et EORI-nummer i samsvar med artikkel 9 i forordning (EU) nr. 952/2013.</w:t>
      </w:r>
    </w:p>
    <w:p w14:paraId="77729E0D" w14:textId="77777777" w:rsidR="005D314E" w:rsidRPr="00576C3D" w:rsidRDefault="005D314E" w:rsidP="00576C3D">
      <w:pPr>
        <w:pStyle w:val="friliste"/>
      </w:pPr>
      <w:r w:rsidRPr="00576C3D">
        <w:t>3.</w:t>
      </w:r>
      <w:r w:rsidRPr="00576C3D">
        <w:tab/>
        <w:t>Dersom vedkommende myndighet finner at kriteriene fastsatt i nr. 2 i denne artikkelen ikke er oppfylt, eller dersom søkeren ikke har framlagt opplysningene nevnt i artikkel 5 nr. 5, skal myndigheten avslå å tildele status som autorisert CBAM-</w:t>
      </w:r>
      <w:proofErr w:type="spellStart"/>
      <w:r w:rsidRPr="00576C3D">
        <w:t>deklarant</w:t>
      </w:r>
      <w:proofErr w:type="spellEnd"/>
      <w:r w:rsidRPr="00576C3D">
        <w:t>. Et slikt vedtak om å avslå status som autorisert CBAM-</w:t>
      </w:r>
      <w:proofErr w:type="spellStart"/>
      <w:r w:rsidRPr="00576C3D">
        <w:t>deklarant</w:t>
      </w:r>
      <w:proofErr w:type="spellEnd"/>
      <w:r w:rsidRPr="00576C3D">
        <w:t xml:space="preserve"> skal inneholde begrunnelsen for avslaget og informasjon om muligheten til å klage.</w:t>
      </w:r>
    </w:p>
    <w:p w14:paraId="032641ED" w14:textId="77777777" w:rsidR="005D314E" w:rsidRPr="00576C3D" w:rsidRDefault="005D314E" w:rsidP="00576C3D">
      <w:pPr>
        <w:pStyle w:val="friliste"/>
      </w:pPr>
      <w:r w:rsidRPr="00576C3D">
        <w:t>4.</w:t>
      </w:r>
      <w:r w:rsidRPr="00576C3D">
        <w:tab/>
        <w:t>Et vedtak fra vedkommende myndighet om å innvilge status som autorisert CBAM-</w:t>
      </w:r>
      <w:proofErr w:type="spellStart"/>
      <w:r w:rsidRPr="00576C3D">
        <w:t>deklarant</w:t>
      </w:r>
      <w:proofErr w:type="spellEnd"/>
      <w:r w:rsidRPr="00576C3D">
        <w:t xml:space="preserve"> skal registreres i CBAM-registeret og skal inneholde følgende opplysninger:</w:t>
      </w:r>
    </w:p>
    <w:p w14:paraId="6DBBD578" w14:textId="77777777" w:rsidR="005D314E" w:rsidRPr="00576C3D" w:rsidRDefault="005D314E" w:rsidP="00576C3D">
      <w:pPr>
        <w:pStyle w:val="friliste2"/>
      </w:pPr>
      <w:r w:rsidRPr="00576C3D">
        <w:t>a)</w:t>
      </w:r>
      <w:r w:rsidRPr="00576C3D">
        <w:tab/>
        <w:t>Navn på, adresse til og kontaktopplysninger for den autoriserte CBAM-</w:t>
      </w:r>
      <w:proofErr w:type="spellStart"/>
      <w:r w:rsidRPr="00576C3D">
        <w:t>deklaranten</w:t>
      </w:r>
      <w:proofErr w:type="spellEnd"/>
      <w:r w:rsidRPr="00576C3D">
        <w:t>.</w:t>
      </w:r>
    </w:p>
    <w:p w14:paraId="59F95B86" w14:textId="77777777" w:rsidR="005D314E" w:rsidRPr="00576C3D" w:rsidRDefault="005D314E" w:rsidP="00576C3D">
      <w:pPr>
        <w:pStyle w:val="friliste2"/>
      </w:pPr>
      <w:r w:rsidRPr="00576C3D">
        <w:t>b)</w:t>
      </w:r>
      <w:r w:rsidRPr="00576C3D">
        <w:tab/>
        <w:t>EORI-nummeret til den autoriserte CBAM-</w:t>
      </w:r>
      <w:proofErr w:type="spellStart"/>
      <w:r w:rsidRPr="00576C3D">
        <w:t>deklaranten</w:t>
      </w:r>
      <w:proofErr w:type="spellEnd"/>
      <w:r w:rsidRPr="00576C3D">
        <w:t>.</w:t>
      </w:r>
    </w:p>
    <w:p w14:paraId="4E39090F" w14:textId="77777777" w:rsidR="005D314E" w:rsidRPr="00576C3D" w:rsidRDefault="005D314E" w:rsidP="00576C3D">
      <w:pPr>
        <w:pStyle w:val="friliste2"/>
      </w:pPr>
      <w:r w:rsidRPr="00576C3D">
        <w:t>c)</w:t>
      </w:r>
      <w:r w:rsidRPr="00576C3D">
        <w:tab/>
        <w:t>CBAM-kontonummeret som er tildelt den autoriserte CBAM-</w:t>
      </w:r>
      <w:proofErr w:type="spellStart"/>
      <w:r w:rsidRPr="00576C3D">
        <w:t>deklaranten</w:t>
      </w:r>
      <w:proofErr w:type="spellEnd"/>
      <w:r w:rsidRPr="00576C3D">
        <w:t xml:space="preserve"> i samsvar med artikkel 16 nr. 1.</w:t>
      </w:r>
    </w:p>
    <w:p w14:paraId="7D1D5512" w14:textId="77777777" w:rsidR="005D314E" w:rsidRPr="00576C3D" w:rsidRDefault="005D314E" w:rsidP="00576C3D">
      <w:pPr>
        <w:pStyle w:val="friliste2"/>
      </w:pPr>
      <w:r w:rsidRPr="00576C3D">
        <w:t>d)</w:t>
      </w:r>
      <w:r w:rsidRPr="00576C3D">
        <w:tab/>
        <w:t>Garantien som kreves i samsvar med nr. 5 i denne artikkelen.</w:t>
      </w:r>
    </w:p>
    <w:p w14:paraId="69557E76" w14:textId="77777777" w:rsidR="005D314E" w:rsidRPr="00576C3D" w:rsidRDefault="005D314E" w:rsidP="00576C3D">
      <w:pPr>
        <w:pStyle w:val="friliste"/>
      </w:pPr>
      <w:r w:rsidRPr="00576C3D">
        <w:t>5.</w:t>
      </w:r>
      <w:r w:rsidRPr="00576C3D">
        <w:tab/>
        <w:t>For å oppfylle kriteriene fastsatt i nr. 2 bokstav b) i denne artikkelen skal vedkommende myndighet kreve at det stilles en garanti dersom søkeren ikke var etablert i de to regnskapsårene før året da søknaden i samsvar med artikkel 5 nr. 1 ble inngitt.</w:t>
      </w:r>
    </w:p>
    <w:p w14:paraId="0FE15681" w14:textId="77777777" w:rsidR="005D314E" w:rsidRPr="00576C3D" w:rsidRDefault="005D314E" w:rsidP="00576C3D">
      <w:pPr>
        <w:pStyle w:val="Listeavsnitt"/>
      </w:pPr>
      <w:r w:rsidRPr="00576C3D">
        <w:t>Vedkommende myndighet skal fastsette garantibeløpet til et beløp beregnet som den samlede verdien av antallet CBAM-sertifikater som den autoriserte CBAM-</w:t>
      </w:r>
      <w:proofErr w:type="spellStart"/>
      <w:r w:rsidRPr="00576C3D">
        <w:t>deklaranten</w:t>
      </w:r>
      <w:proofErr w:type="spellEnd"/>
      <w:r w:rsidRPr="00576C3D">
        <w:t xml:space="preserve"> ville måtte innlevere i samsvar med artikkel 22 med hensyn til import av varer rapportert i samsvar med artikkel 5 nr. 5 bokstav g). Garantien som stilles, skal være en bankgaranti som skal betales ved første påkrav av en finansinstitusjon som driver virksomhet i Unionen, eller en annen form for garanti som gir tilsvarende sikkerhet.</w:t>
      </w:r>
    </w:p>
    <w:p w14:paraId="52C039FA" w14:textId="77777777" w:rsidR="005D314E" w:rsidRPr="00576C3D" w:rsidRDefault="005D314E" w:rsidP="00576C3D">
      <w:pPr>
        <w:pStyle w:val="friliste"/>
      </w:pPr>
      <w:r w:rsidRPr="00576C3D">
        <w:t>6.</w:t>
      </w:r>
      <w:r w:rsidRPr="00576C3D">
        <w:tab/>
        <w:t>Dersom vedkommende myndighet fastslår at garantien som stilles ikke sikrer eller ikke lenger er tilstrekkelig til å sikre den autoriserte CBAM-</w:t>
      </w:r>
      <w:proofErr w:type="spellStart"/>
      <w:r w:rsidRPr="00576C3D">
        <w:t>deklarantens</w:t>
      </w:r>
      <w:proofErr w:type="spellEnd"/>
      <w:r w:rsidRPr="00576C3D">
        <w:t xml:space="preserve"> økonomiske og operasjonelle evne til å oppfylle sine forpliktelser i henhold til denne forordningen, skal den kreve at den autoriserte CBAM-</w:t>
      </w:r>
      <w:proofErr w:type="spellStart"/>
      <w:r w:rsidRPr="00576C3D">
        <w:t>deklaranten</w:t>
      </w:r>
      <w:proofErr w:type="spellEnd"/>
      <w:r w:rsidRPr="00576C3D">
        <w:t xml:space="preserve"> velger mellom å stille en tilleggsgaranti eller erstatte den opprinnelige garantien med en ny garanti i samsvar med nr. 5.</w:t>
      </w:r>
    </w:p>
    <w:p w14:paraId="337CFE9E" w14:textId="77777777" w:rsidR="005D314E" w:rsidRPr="00576C3D" w:rsidRDefault="005D314E" w:rsidP="00576C3D">
      <w:pPr>
        <w:pStyle w:val="friliste"/>
      </w:pPr>
      <w:r w:rsidRPr="00576C3D">
        <w:t>7.</w:t>
      </w:r>
      <w:r w:rsidRPr="00576C3D">
        <w:tab/>
        <w:t>Vedkommende myndighet skal frigi garantien umiddelbart etter den 31. mai i det andre året der den autoriserte CBAM-</w:t>
      </w:r>
      <w:proofErr w:type="spellStart"/>
      <w:r w:rsidRPr="00576C3D">
        <w:t>deklaranten</w:t>
      </w:r>
      <w:proofErr w:type="spellEnd"/>
      <w:r w:rsidRPr="00576C3D">
        <w:t xml:space="preserve"> har innlevert CBAM-sertifikater i samsvar med artikkel 22.</w:t>
      </w:r>
    </w:p>
    <w:p w14:paraId="5D40C239" w14:textId="77777777" w:rsidR="005D314E" w:rsidRPr="00576C3D" w:rsidRDefault="005D314E" w:rsidP="00576C3D">
      <w:pPr>
        <w:pStyle w:val="friliste"/>
      </w:pPr>
      <w:r w:rsidRPr="00576C3D">
        <w:t>8.</w:t>
      </w:r>
      <w:r w:rsidRPr="00576C3D">
        <w:tab/>
        <w:t>Vedkommende myndighet skal tilbakekalle status som autorisert CBAM-</w:t>
      </w:r>
      <w:proofErr w:type="spellStart"/>
      <w:r w:rsidRPr="00576C3D">
        <w:t>deklarant</w:t>
      </w:r>
      <w:proofErr w:type="spellEnd"/>
      <w:r w:rsidRPr="00576C3D">
        <w:t xml:space="preserve"> dersom</w:t>
      </w:r>
    </w:p>
    <w:p w14:paraId="1867E1D8" w14:textId="77777777" w:rsidR="005D314E" w:rsidRPr="00576C3D" w:rsidRDefault="005D314E" w:rsidP="00576C3D">
      <w:pPr>
        <w:pStyle w:val="friliste2"/>
      </w:pPr>
      <w:r w:rsidRPr="00576C3D">
        <w:t>a)</w:t>
      </w:r>
      <w:r w:rsidRPr="00576C3D">
        <w:tab/>
        <w:t>den autoriserte CBAM-</w:t>
      </w:r>
      <w:proofErr w:type="spellStart"/>
      <w:r w:rsidRPr="00576C3D">
        <w:t>deklaranten</w:t>
      </w:r>
      <w:proofErr w:type="spellEnd"/>
      <w:r w:rsidRPr="00576C3D">
        <w:t xml:space="preserve"> anmoder om tilbakekalling, eller</w:t>
      </w:r>
    </w:p>
    <w:p w14:paraId="644FECD7" w14:textId="77777777" w:rsidR="005D314E" w:rsidRPr="00576C3D" w:rsidRDefault="005D314E" w:rsidP="00576C3D">
      <w:pPr>
        <w:pStyle w:val="friliste2"/>
      </w:pPr>
      <w:r w:rsidRPr="00576C3D">
        <w:t>b)</w:t>
      </w:r>
      <w:r w:rsidRPr="00576C3D">
        <w:tab/>
        <w:t>den autoriserte CBAM-</w:t>
      </w:r>
      <w:proofErr w:type="spellStart"/>
      <w:r w:rsidRPr="00576C3D">
        <w:t>deklaranten</w:t>
      </w:r>
      <w:proofErr w:type="spellEnd"/>
      <w:r w:rsidRPr="00576C3D">
        <w:t xml:space="preserve"> ikke lenger oppfyller kriteriene fastsatt i nr. 2 eller 6 i denne artikkelen, eller har vært involvert i en alvorlig eller gjentatt overtredelse av plikten til å innlevere CBAM-sertifikater nevnt i artikkel 22 nr. 1 eller plikten til å ha et tilstrekkelig antall CBAM-sertifikater på sin konto i CBAM-registeret ved utgangen av hvert kvartal nevnt i artikkel 22 nr. 2.</w:t>
      </w:r>
    </w:p>
    <w:p w14:paraId="693DD7FC" w14:textId="77777777" w:rsidR="005D314E" w:rsidRPr="00576C3D" w:rsidRDefault="005D314E" w:rsidP="00576C3D">
      <w:pPr>
        <w:pStyle w:val="Listeavsnitt"/>
      </w:pPr>
      <w:r w:rsidRPr="00576C3D">
        <w:t>Før vedkommende myndighet tilbakekaller status som autorisert CBAM-</w:t>
      </w:r>
      <w:proofErr w:type="spellStart"/>
      <w:r w:rsidRPr="00576C3D">
        <w:t>deklarant</w:t>
      </w:r>
      <w:proofErr w:type="spellEnd"/>
      <w:r w:rsidRPr="00576C3D">
        <w:t>, skal den gi den autoriserte CBAM-</w:t>
      </w:r>
      <w:proofErr w:type="spellStart"/>
      <w:r w:rsidRPr="00576C3D">
        <w:t>deklaranten</w:t>
      </w:r>
      <w:proofErr w:type="spellEnd"/>
      <w:r w:rsidRPr="00576C3D">
        <w:t xml:space="preserve"> mulighet til å bli hørt, og skal gjennomføre en høringsprosedyre om eventuell tilbakekalling av slik status. Høringsprosedyren skal omfatte vedkommende myndigheter i de andre medlemsstatene og Kommisjonen, og skal ikke overstige 15 virkedager.</w:t>
      </w:r>
    </w:p>
    <w:p w14:paraId="0493BD43" w14:textId="77777777" w:rsidR="005D314E" w:rsidRPr="00576C3D" w:rsidRDefault="005D314E" w:rsidP="00576C3D">
      <w:pPr>
        <w:pStyle w:val="Listeavsnitt"/>
      </w:pPr>
      <w:r w:rsidRPr="00576C3D">
        <w:t>Et eventuelt vedtak om tilbakekalling skal inneholde begrunnelsen for vedtaket samt opplysninger om klageadgang.</w:t>
      </w:r>
    </w:p>
    <w:p w14:paraId="32D0573B" w14:textId="77777777" w:rsidR="005D314E" w:rsidRPr="00576C3D" w:rsidRDefault="005D314E" w:rsidP="00576C3D">
      <w:pPr>
        <w:pStyle w:val="friliste"/>
      </w:pPr>
      <w:r w:rsidRPr="00576C3D">
        <w:t>9.</w:t>
      </w:r>
      <w:r w:rsidRPr="00576C3D">
        <w:tab/>
        <w:t>Vedkommende myndighet skal registrere opplysninger i CBAM-registeret om</w:t>
      </w:r>
    </w:p>
    <w:p w14:paraId="7DAF4C7E" w14:textId="77777777" w:rsidR="005D314E" w:rsidRPr="00576C3D" w:rsidRDefault="005D314E" w:rsidP="00576C3D">
      <w:pPr>
        <w:pStyle w:val="friliste2"/>
      </w:pPr>
      <w:r w:rsidRPr="00576C3D">
        <w:t>a)</w:t>
      </w:r>
      <w:r w:rsidRPr="00576C3D">
        <w:tab/>
        <w:t>søkerne hvis søknad om autorisasjon er avslått i henhold til nr. 3, og</w:t>
      </w:r>
    </w:p>
    <w:p w14:paraId="49168AB7" w14:textId="77777777" w:rsidR="005D314E" w:rsidRPr="00576C3D" w:rsidRDefault="005D314E" w:rsidP="00576C3D">
      <w:pPr>
        <w:pStyle w:val="friliste2"/>
      </w:pPr>
      <w:r w:rsidRPr="00576C3D">
        <w:t>b)</w:t>
      </w:r>
      <w:r w:rsidRPr="00576C3D">
        <w:tab/>
        <w:t>personer hvis status som autorisert CBAM-</w:t>
      </w:r>
      <w:proofErr w:type="spellStart"/>
      <w:r w:rsidRPr="00576C3D">
        <w:t>deklarant</w:t>
      </w:r>
      <w:proofErr w:type="spellEnd"/>
      <w:r w:rsidRPr="00576C3D">
        <w:t xml:space="preserve"> er tilbakekalt i henhold til nr. 8.</w:t>
      </w:r>
    </w:p>
    <w:p w14:paraId="00D45B96" w14:textId="77777777" w:rsidR="005D314E" w:rsidRPr="00576C3D" w:rsidRDefault="005D314E" w:rsidP="00576C3D">
      <w:pPr>
        <w:pStyle w:val="friliste"/>
      </w:pPr>
      <w:r w:rsidRPr="00576C3D">
        <w:t>10.</w:t>
      </w:r>
      <w:r w:rsidRPr="00576C3D">
        <w:tab/>
        <w:t>Kommisjonen skal ved hjelp av gjennomføringsrettsakter vedta vilkårene for</w:t>
      </w:r>
    </w:p>
    <w:p w14:paraId="6DCA3972" w14:textId="77777777" w:rsidR="005D314E" w:rsidRPr="00576C3D" w:rsidRDefault="005D314E" w:rsidP="00576C3D">
      <w:pPr>
        <w:pStyle w:val="friliste2"/>
      </w:pPr>
      <w:r w:rsidRPr="00576C3D">
        <w:t>a)</w:t>
      </w:r>
      <w:r w:rsidRPr="00576C3D">
        <w:tab/>
      </w:r>
      <w:proofErr w:type="gramStart"/>
      <w:r w:rsidRPr="00576C3D">
        <w:t>anvendelse</w:t>
      </w:r>
      <w:proofErr w:type="gramEnd"/>
      <w:r w:rsidRPr="00576C3D">
        <w:t xml:space="preserve"> av kriteriene nevnt i nr. 2 i denne artikkelen, herunder kriteriet om ikke å ha vært involvert i en alvorlig overtredelse eller i gjentatte overtredelser i henhold til nr. 2 bokstav a) i denne artikkelen,</w:t>
      </w:r>
    </w:p>
    <w:p w14:paraId="020AADD9" w14:textId="77777777" w:rsidR="005D314E" w:rsidRPr="00576C3D" w:rsidRDefault="005D314E" w:rsidP="00576C3D">
      <w:pPr>
        <w:pStyle w:val="friliste2"/>
      </w:pPr>
      <w:r w:rsidRPr="00576C3D">
        <w:t>b)</w:t>
      </w:r>
      <w:r w:rsidRPr="00576C3D">
        <w:tab/>
      </w:r>
      <w:proofErr w:type="gramStart"/>
      <w:r w:rsidRPr="00576C3D">
        <w:t>anvendelsen</w:t>
      </w:r>
      <w:proofErr w:type="gramEnd"/>
      <w:r w:rsidRPr="00576C3D">
        <w:t xml:space="preserve"> av garantien nevnt i nr. 5, 6 og 7 i denne artikkelen,</w:t>
      </w:r>
    </w:p>
    <w:p w14:paraId="6EBC1E58" w14:textId="77777777" w:rsidR="005D314E" w:rsidRPr="00576C3D" w:rsidRDefault="005D314E" w:rsidP="00576C3D">
      <w:pPr>
        <w:pStyle w:val="friliste2"/>
      </w:pPr>
      <w:r w:rsidRPr="00576C3D">
        <w:t>c)</w:t>
      </w:r>
      <w:r w:rsidRPr="00576C3D">
        <w:tab/>
      </w:r>
      <w:proofErr w:type="gramStart"/>
      <w:r w:rsidRPr="00576C3D">
        <w:t>anvendelsen</w:t>
      </w:r>
      <w:proofErr w:type="gramEnd"/>
      <w:r w:rsidRPr="00576C3D">
        <w:t xml:space="preserve"> av kriteriene for en alvorlig eller gjentatt overtredelse nevnt i nr. 8 i denne artikkelen,</w:t>
      </w:r>
    </w:p>
    <w:p w14:paraId="41E4FEDF" w14:textId="77777777" w:rsidR="005D314E" w:rsidRPr="00576C3D" w:rsidRDefault="005D314E" w:rsidP="00576C3D">
      <w:pPr>
        <w:pStyle w:val="friliste2"/>
      </w:pPr>
      <w:r w:rsidRPr="00576C3D">
        <w:t>d)</w:t>
      </w:r>
      <w:r w:rsidRPr="00576C3D">
        <w:tab/>
        <w:t>konsekvensene av tilbakekallingen av status som autorisert CBAM-</w:t>
      </w:r>
      <w:proofErr w:type="spellStart"/>
      <w:r w:rsidRPr="00576C3D">
        <w:t>deklarant</w:t>
      </w:r>
      <w:proofErr w:type="spellEnd"/>
      <w:r w:rsidRPr="00576C3D">
        <w:t xml:space="preserve"> nevnt i nr. 8 i denne artikkelen, og</w:t>
      </w:r>
    </w:p>
    <w:p w14:paraId="091286F5" w14:textId="77777777" w:rsidR="005D314E" w:rsidRPr="00576C3D" w:rsidRDefault="005D314E" w:rsidP="00576C3D">
      <w:pPr>
        <w:pStyle w:val="friliste2"/>
      </w:pPr>
      <w:r w:rsidRPr="00576C3D">
        <w:t>e)</w:t>
      </w:r>
      <w:r w:rsidRPr="00576C3D">
        <w:tab/>
        <w:t>de konkrete tidsfristene og formatet for høringsprosedyren nevnt i nr. 1 og 8 i denne artikkelen.</w:t>
      </w:r>
    </w:p>
    <w:p w14:paraId="26D02598" w14:textId="77777777" w:rsidR="005D314E" w:rsidRPr="00576C3D" w:rsidRDefault="005D314E" w:rsidP="00576C3D">
      <w:pPr>
        <w:pStyle w:val="Listeavsnitt"/>
      </w:pPr>
      <w:r w:rsidRPr="00576C3D">
        <w:t>Gjennomføringsrettsaktene nevnt i første ledd skal vedtas etter undersøkelsesprosedyren som det vises til i artikkel 29 nr. 2.</w:t>
      </w:r>
    </w:p>
    <w:p w14:paraId="1A3F01BA" w14:textId="77777777" w:rsidR="005D314E" w:rsidRPr="00576C3D" w:rsidRDefault="005D314E" w:rsidP="00576C3D">
      <w:pPr>
        <w:pStyle w:val="avsnitt-undertittel"/>
      </w:pPr>
      <w:r w:rsidRPr="00576C3D">
        <w:t>Artikkel 18</w:t>
      </w:r>
    </w:p>
    <w:p w14:paraId="7E31F750" w14:textId="77777777" w:rsidR="005D314E" w:rsidRPr="00576C3D" w:rsidRDefault="005D314E" w:rsidP="00576C3D">
      <w:pPr>
        <w:pStyle w:val="Undertittel"/>
      </w:pPr>
      <w:r w:rsidRPr="00576C3D">
        <w:t xml:space="preserve">Akkreditering av </w:t>
      </w:r>
      <w:proofErr w:type="spellStart"/>
      <w:r w:rsidRPr="00576C3D">
        <w:t>verifikatører</w:t>
      </w:r>
      <w:proofErr w:type="spellEnd"/>
    </w:p>
    <w:p w14:paraId="5DE9A17C" w14:textId="77777777" w:rsidR="005D314E" w:rsidRPr="00576C3D" w:rsidRDefault="005D314E" w:rsidP="00576C3D">
      <w:pPr>
        <w:pStyle w:val="friliste"/>
      </w:pPr>
      <w:r w:rsidRPr="00576C3D">
        <w:t>1.</w:t>
      </w:r>
      <w:r w:rsidRPr="00576C3D">
        <w:tab/>
        <w:t xml:space="preserve">Enhver person som er akkreditert i samsvar med gjennomføringsforordning (EU) 2018/2067 for en relevant gruppe aktiviteter, skal være en akkreditert </w:t>
      </w:r>
      <w:proofErr w:type="spellStart"/>
      <w:r w:rsidRPr="00576C3D">
        <w:t>verifikatør</w:t>
      </w:r>
      <w:proofErr w:type="spellEnd"/>
      <w:r w:rsidRPr="00576C3D">
        <w:t xml:space="preserve"> i henhold til denne forordningen. Kommisjonen gis myndighet til å vedta gjennomføringsrettsakter for å identifisere relevante grupper av aktiviteter ved å sørge for en samordning av kvalifikasjonene til en akkreditert </w:t>
      </w:r>
      <w:proofErr w:type="spellStart"/>
      <w:r w:rsidRPr="00576C3D">
        <w:t>verifikatør</w:t>
      </w:r>
      <w:proofErr w:type="spellEnd"/>
      <w:r w:rsidRPr="00576C3D">
        <w:t xml:space="preserve"> som er nødvendige for å utføre verifiseringer med henblikk på denne forordningen, med den relevante gruppen av aktiviteter oppført i vedlegg I til gjennomføringsforordning (EU) 2018/2067 og angitt i akkrediteringssertifikatet. Disse gjennomføringsrettsaktene skal vedtas i samsvar med undersøkelsesprosedyren som det vises til i artikkel 29 nr. 2 i denne forordningen.</w:t>
      </w:r>
    </w:p>
    <w:p w14:paraId="66E501C3" w14:textId="77777777" w:rsidR="005D314E" w:rsidRPr="00576C3D" w:rsidRDefault="005D314E" w:rsidP="00576C3D">
      <w:pPr>
        <w:pStyle w:val="friliste"/>
      </w:pPr>
      <w:r w:rsidRPr="00576C3D">
        <w:t>2.</w:t>
      </w:r>
      <w:r w:rsidRPr="00576C3D">
        <w:tab/>
        <w:t xml:space="preserve">Et nasjonalt akkrediteringsorgan kan på anmodning akkreditere en person som </w:t>
      </w:r>
      <w:proofErr w:type="spellStart"/>
      <w:r w:rsidRPr="00576C3D">
        <w:t>verifikatør</w:t>
      </w:r>
      <w:proofErr w:type="spellEnd"/>
      <w:r w:rsidRPr="00576C3D">
        <w:t xml:space="preserve"> i henhold til denne forordningen dersom organet på grunnlag av dokumentasjonen som det får tilsendt, anser at vedkommende er i stand til å anvende verifiseringsprinsippene nevnt i vedlegg VI når vedkommende utfører verifiseringsoppgavene for de innbakte utslippene i henhold til artikkel 8 og 10.</w:t>
      </w:r>
    </w:p>
    <w:p w14:paraId="7A818F5F" w14:textId="77777777" w:rsidR="005D314E" w:rsidRPr="00576C3D" w:rsidRDefault="005D314E" w:rsidP="00576C3D">
      <w:pPr>
        <w:pStyle w:val="friliste"/>
      </w:pPr>
      <w:r w:rsidRPr="00576C3D">
        <w:t>3.</w:t>
      </w:r>
      <w:r w:rsidRPr="00576C3D">
        <w:tab/>
        <w:t xml:space="preserve">Kommisjonen gis myndighet til å vedta delegerte rettsakter i samsvar med artikkel 28 for å utfylle denne forordningen ved å fastsette vilkårene for å gi akkreditering som nevnt i nr. 2 i denne artikkel, for kontroll og tilsyn med akkrediterte </w:t>
      </w:r>
      <w:proofErr w:type="spellStart"/>
      <w:r w:rsidRPr="00576C3D">
        <w:t>verifikatører</w:t>
      </w:r>
      <w:proofErr w:type="spellEnd"/>
      <w:r w:rsidRPr="00576C3D">
        <w:t>, for tilbaketrekking av akkreditering og for gjensidig anerkjennelse og fagfellevurdering av akkrediteringsorganer.</w:t>
      </w:r>
    </w:p>
    <w:p w14:paraId="5766212D" w14:textId="77777777" w:rsidR="005D314E" w:rsidRPr="00576C3D" w:rsidRDefault="005D314E" w:rsidP="00576C3D">
      <w:pPr>
        <w:pStyle w:val="avsnitt-undertittel"/>
      </w:pPr>
      <w:r w:rsidRPr="00576C3D">
        <w:t>Artikkel 19</w:t>
      </w:r>
    </w:p>
    <w:p w14:paraId="0413AA52" w14:textId="77777777" w:rsidR="005D314E" w:rsidRPr="00576C3D" w:rsidRDefault="005D314E" w:rsidP="00576C3D">
      <w:pPr>
        <w:pStyle w:val="Undertittel"/>
      </w:pPr>
      <w:r w:rsidRPr="00576C3D">
        <w:t>Gjennomgang av CBAM-erklæringer</w:t>
      </w:r>
    </w:p>
    <w:p w14:paraId="0179BFA5" w14:textId="77777777" w:rsidR="005D314E" w:rsidRPr="00576C3D" w:rsidRDefault="005D314E" w:rsidP="00576C3D">
      <w:pPr>
        <w:pStyle w:val="friliste"/>
      </w:pPr>
      <w:r w:rsidRPr="00576C3D">
        <w:t>1.</w:t>
      </w:r>
      <w:r w:rsidRPr="00576C3D">
        <w:tab/>
        <w:t>Kommisjonen skal ha tilsynsrollen i gjennomgangen av CBAM-erklæringene.</w:t>
      </w:r>
    </w:p>
    <w:p w14:paraId="36B9C4BB" w14:textId="77777777" w:rsidR="005D314E" w:rsidRPr="00576C3D" w:rsidRDefault="005D314E" w:rsidP="00576C3D">
      <w:pPr>
        <w:pStyle w:val="friliste"/>
      </w:pPr>
      <w:r w:rsidRPr="00576C3D">
        <w:t>2.</w:t>
      </w:r>
      <w:r w:rsidRPr="00576C3D">
        <w:tab/>
        <w:t>Kommisjonen kan gjennomgå CBAM-erklæringene i samsvar med en strategi for gjennomgang, herunder risikofaktorer, innen perioden som slutter det fjerde året etter det året der CBAM-erklæringene burde ha blitt innlevert.</w:t>
      </w:r>
    </w:p>
    <w:p w14:paraId="0FBCFEB9" w14:textId="77777777" w:rsidR="005D314E" w:rsidRPr="00576C3D" w:rsidRDefault="005D314E" w:rsidP="00576C3D">
      <w:pPr>
        <w:pStyle w:val="Listeavsnitt"/>
      </w:pPr>
      <w:r w:rsidRPr="00576C3D">
        <w:t>Gjennomgangen kan bestå i å verifisere opplysningene i CBAM-erklæringen og verifiseringsrapportene på grunnlag av opplysningene som tollmyndighetene har framlagt i samsvar med artikkel 25, eventuelle andre relevante bevis, og på grunnlag av enhver revisjon som anses som nødvendig, herunder hos den autoriserte CBAM-</w:t>
      </w:r>
      <w:proofErr w:type="spellStart"/>
      <w:r w:rsidRPr="00576C3D">
        <w:t>deklaranten</w:t>
      </w:r>
      <w:proofErr w:type="spellEnd"/>
      <w:r w:rsidRPr="00576C3D">
        <w:t>.</w:t>
      </w:r>
    </w:p>
    <w:p w14:paraId="6084B468" w14:textId="77777777" w:rsidR="005D314E" w:rsidRPr="00576C3D" w:rsidRDefault="005D314E" w:rsidP="00576C3D">
      <w:pPr>
        <w:pStyle w:val="Listeavsnitt"/>
      </w:pPr>
      <w:r w:rsidRPr="00576C3D">
        <w:t>Kommisjonen skal via CBAM-registeret underrette vedkommende myndighet i medlemsstaten der CBAM-</w:t>
      </w:r>
      <w:proofErr w:type="spellStart"/>
      <w:r w:rsidRPr="00576C3D">
        <w:t>deklaranten</w:t>
      </w:r>
      <w:proofErr w:type="spellEnd"/>
      <w:r w:rsidRPr="00576C3D">
        <w:t xml:space="preserve"> er etablert, om påbegynnelsen av og resultatene av gjennomgangen.</w:t>
      </w:r>
    </w:p>
    <w:p w14:paraId="5E09D245" w14:textId="77777777" w:rsidR="005D314E" w:rsidRPr="00576C3D" w:rsidRDefault="005D314E" w:rsidP="00576C3D">
      <w:pPr>
        <w:pStyle w:val="Listeavsnitt"/>
      </w:pPr>
      <w:r w:rsidRPr="00576C3D">
        <w:t>Vedkommende myndighet i medlemsstaten der den autoriserte CBAM-</w:t>
      </w:r>
      <w:proofErr w:type="spellStart"/>
      <w:r w:rsidRPr="00576C3D">
        <w:t>deklaranten</w:t>
      </w:r>
      <w:proofErr w:type="spellEnd"/>
      <w:r w:rsidRPr="00576C3D">
        <w:t xml:space="preserve"> er etablert, kan også gjennomgå en CBAM-erklæring innen fristen nevnt i første ledd i dette nummer. Vedkommende myndighet skal underrette Kommisjonen om påbegynnelsen og resultatene av en gjennomgang via CBAM-registeret.</w:t>
      </w:r>
    </w:p>
    <w:p w14:paraId="39D48EC3" w14:textId="77777777" w:rsidR="005D314E" w:rsidRPr="00576C3D" w:rsidRDefault="005D314E" w:rsidP="00576C3D">
      <w:pPr>
        <w:pStyle w:val="friliste"/>
      </w:pPr>
      <w:r w:rsidRPr="00576C3D">
        <w:t>3.</w:t>
      </w:r>
      <w:r w:rsidRPr="00576C3D">
        <w:tab/>
        <w:t>Kommisjonen skal med jevne mellomrom angi spesifikke risikofaktorer og punkter som krever oppmerksomhet på grunnlag av en risikoanalyse i forbindelse med gjennomføringen av CBAM på unionsnivå, idet det tas hensyn til opplysningene i CBAM-registeret, opplysningene fra tollmyndighetene og andre relevante informasjonskilder, herunder kontrollene som er utført i henhold til artikkel 15 nr. 2 og artikkel 25.</w:t>
      </w:r>
    </w:p>
    <w:p w14:paraId="2A75A5AF" w14:textId="77777777" w:rsidR="005D314E" w:rsidRPr="00576C3D" w:rsidRDefault="005D314E" w:rsidP="00576C3D">
      <w:pPr>
        <w:pStyle w:val="Listeavsnitt"/>
      </w:pPr>
      <w:r w:rsidRPr="00576C3D">
        <w:t>Kommisjonen skal også lette utvekslingen av opplysninger med vedkommende myndigheter om bedrageri og om gebyrene som ilegges i samsvar med artikkel 26.</w:t>
      </w:r>
    </w:p>
    <w:p w14:paraId="7E61F20D" w14:textId="77777777" w:rsidR="005D314E" w:rsidRPr="00576C3D" w:rsidRDefault="005D314E" w:rsidP="00576C3D">
      <w:pPr>
        <w:pStyle w:val="friliste"/>
      </w:pPr>
      <w:r w:rsidRPr="00576C3D">
        <w:t>4.</w:t>
      </w:r>
      <w:r w:rsidRPr="00576C3D">
        <w:tab/>
        <w:t>Dersom en autorisert CBAM-</w:t>
      </w:r>
      <w:proofErr w:type="spellStart"/>
      <w:r w:rsidRPr="00576C3D">
        <w:t>deklarant</w:t>
      </w:r>
      <w:proofErr w:type="spellEnd"/>
      <w:r w:rsidRPr="00576C3D">
        <w:t xml:space="preserve"> ikke sender inn en CBAM-erklæring i samsvar med artikkel 6, eller dersom Kommisjonen på grunnlag av sin gjennomgang i henhold til nr. 2 i denne artikkelen anser at det oppgitte antallet CBAM-sertifikater er feil, skal Kommisjonen vurdere forpliktelsene i henhold til denne forordningen for den autoriserte CBAM-</w:t>
      </w:r>
      <w:proofErr w:type="spellStart"/>
      <w:r w:rsidRPr="00576C3D">
        <w:t>deklaranten</w:t>
      </w:r>
      <w:proofErr w:type="spellEnd"/>
      <w:r w:rsidRPr="00576C3D">
        <w:t xml:space="preserve"> på grunnlag av opplysningene den har til rådighet. Kommisjonen skal fastsette en foreløpig beregning av det totale antallet CBAM-sertifikater som burde ha blitt innlevert, senest 31. desember i året etter året der CBAM-erklæringen burde ha blitt innlevert, eller senest 31. desember i det fjerde året etter året der den uriktige CBAM-erklæringen ble innlevert, alt etter hva som er relevant. Kommisjonen skal for veiledende formål og uten at det berører den endelige beregningen som er fastsatt av vedkommende myndighet i medlemsstaten der den autoriserte CBAM-</w:t>
      </w:r>
      <w:proofErr w:type="spellStart"/>
      <w:r w:rsidRPr="00576C3D">
        <w:t>deklaranten</w:t>
      </w:r>
      <w:proofErr w:type="spellEnd"/>
      <w:r w:rsidRPr="00576C3D">
        <w:t xml:space="preserve"> er etablert, forelegge vedkommende myndigheter en slik foreløpig beregning.</w:t>
      </w:r>
    </w:p>
    <w:p w14:paraId="0E8FE7DE" w14:textId="77777777" w:rsidR="005D314E" w:rsidRPr="00576C3D" w:rsidRDefault="005D314E" w:rsidP="00576C3D">
      <w:pPr>
        <w:pStyle w:val="friliste"/>
      </w:pPr>
      <w:r w:rsidRPr="00576C3D">
        <w:t>5.</w:t>
      </w:r>
      <w:r w:rsidRPr="00576C3D">
        <w:tab/>
        <w:t>Dersom vedkommende myndighet konkluderer med at det oppgitte antallet CBAM-sertifikater som skal innleveres er feil, eller at ingen CBAM-erklæring er sendt inn i samsvar med artikkel 6, skal den fastsette antallet CBAM-sertifikater som burde ha blitt innlevert av den autoriserte CBAM-</w:t>
      </w:r>
      <w:proofErr w:type="spellStart"/>
      <w:r w:rsidRPr="00576C3D">
        <w:t>deklaranten</w:t>
      </w:r>
      <w:proofErr w:type="spellEnd"/>
      <w:r w:rsidRPr="00576C3D">
        <w:t>, idet den tar hensyn til opplysningene som er gitt av Kommisjonen.</w:t>
      </w:r>
    </w:p>
    <w:p w14:paraId="41BEEEF7" w14:textId="77777777" w:rsidR="005D314E" w:rsidRPr="00576C3D" w:rsidRDefault="005D314E" w:rsidP="00576C3D">
      <w:pPr>
        <w:pStyle w:val="Listeavsnitt"/>
      </w:pPr>
      <w:r w:rsidRPr="00576C3D">
        <w:t>Vedkommende myndighet skal underrette den autoriserte CBAM-</w:t>
      </w:r>
      <w:proofErr w:type="spellStart"/>
      <w:r w:rsidRPr="00576C3D">
        <w:t>deklaranten</w:t>
      </w:r>
      <w:proofErr w:type="spellEnd"/>
      <w:r w:rsidRPr="00576C3D">
        <w:t xml:space="preserve"> om sin beslutning om antallet CBAM-sertifikater som er fastsatt, og skal anmode om at den autoriserte CBAM-</w:t>
      </w:r>
      <w:proofErr w:type="spellStart"/>
      <w:r w:rsidRPr="00576C3D">
        <w:t>deklaranten</w:t>
      </w:r>
      <w:proofErr w:type="spellEnd"/>
      <w:r w:rsidRPr="00576C3D">
        <w:t xml:space="preserve"> innleverer de ytterligere CBAM-sertifikatene innen én måned.</w:t>
      </w:r>
    </w:p>
    <w:p w14:paraId="54E23FDD" w14:textId="77777777" w:rsidR="005D314E" w:rsidRPr="00576C3D" w:rsidRDefault="005D314E" w:rsidP="00576C3D">
      <w:pPr>
        <w:pStyle w:val="Listeavsnitt"/>
      </w:pPr>
      <w:r w:rsidRPr="00576C3D">
        <w:t>Vedtaket fra vedkommende myndighet skal inneholde begrunnelsen for vedtaket samt opplysninger om klageadgang. Vedtaket skal også meddeles via CBAM-registeret.</w:t>
      </w:r>
    </w:p>
    <w:p w14:paraId="06B8DBBA" w14:textId="77777777" w:rsidR="005D314E" w:rsidRPr="00576C3D" w:rsidRDefault="005D314E" w:rsidP="00576C3D">
      <w:pPr>
        <w:pStyle w:val="Listeavsnitt"/>
      </w:pPr>
      <w:r w:rsidRPr="00576C3D">
        <w:t>Dersom vedkommende myndighet, etter å ha mottatt den foreløpige beregningen fra Kommisjonen i samsvar med nr. 2 og 4, beslutter å ikke treffe tiltak, skal vedkommende myndighet underrette Kommisjonen om dette via CBAM-registeret.</w:t>
      </w:r>
    </w:p>
    <w:p w14:paraId="7CD22B42" w14:textId="77777777" w:rsidR="005D314E" w:rsidRPr="00576C3D" w:rsidRDefault="005D314E" w:rsidP="00576C3D">
      <w:pPr>
        <w:pStyle w:val="friliste"/>
      </w:pPr>
      <w:r w:rsidRPr="00576C3D">
        <w:t>6.</w:t>
      </w:r>
      <w:r w:rsidRPr="00576C3D">
        <w:tab/>
        <w:t xml:space="preserve">Dersom vedkommende myndighet konkluderer med at antallet innleverte CBAM-sertifikater er høyere enn antallet som burde ha blitt innlevert, skal den omgående underrette Kommisjonen. De overskytende CBAM-sertifikatene som er blitt innlevert, skal </w:t>
      </w:r>
      <w:proofErr w:type="spellStart"/>
      <w:r w:rsidRPr="00576C3D">
        <w:t>tilbakekjøpes</w:t>
      </w:r>
      <w:proofErr w:type="spellEnd"/>
      <w:r w:rsidRPr="00576C3D">
        <w:t xml:space="preserve"> i samsvar med artikkel 23.</w:t>
      </w:r>
    </w:p>
    <w:p w14:paraId="25D28820" w14:textId="77777777" w:rsidR="005D314E" w:rsidRPr="00576C3D" w:rsidRDefault="005D314E" w:rsidP="00576C3D">
      <w:pPr>
        <w:pStyle w:val="avsnitt-undertittel"/>
      </w:pPr>
      <w:r w:rsidRPr="00576C3D">
        <w:t>Kapittel IV</w:t>
      </w:r>
    </w:p>
    <w:p w14:paraId="18BD04ED" w14:textId="77777777" w:rsidR="005D314E" w:rsidRPr="00576C3D" w:rsidRDefault="005D314E" w:rsidP="00576C3D">
      <w:pPr>
        <w:pStyle w:val="Undertittel"/>
      </w:pPr>
      <w:r w:rsidRPr="00576C3D">
        <w:t>CBAM-sertifikater</w:t>
      </w:r>
    </w:p>
    <w:p w14:paraId="2672AEA6" w14:textId="77777777" w:rsidR="005D314E" w:rsidRPr="00576C3D" w:rsidRDefault="005D314E" w:rsidP="00576C3D">
      <w:pPr>
        <w:pStyle w:val="avsnitt-undertittel"/>
      </w:pPr>
      <w:r w:rsidRPr="00576C3D">
        <w:t>Artikkel 20</w:t>
      </w:r>
    </w:p>
    <w:p w14:paraId="18A2D2C6" w14:textId="77777777" w:rsidR="005D314E" w:rsidRPr="00576C3D" w:rsidRDefault="005D314E" w:rsidP="00576C3D">
      <w:pPr>
        <w:pStyle w:val="Undertittel"/>
      </w:pPr>
      <w:r w:rsidRPr="00576C3D">
        <w:t>Salg av CBAM-sertifikater</w:t>
      </w:r>
    </w:p>
    <w:p w14:paraId="397CBFCF" w14:textId="77777777" w:rsidR="005D314E" w:rsidRPr="00576C3D" w:rsidRDefault="005D314E" w:rsidP="00576C3D">
      <w:pPr>
        <w:pStyle w:val="friliste"/>
      </w:pPr>
      <w:r w:rsidRPr="00576C3D">
        <w:t>1.</w:t>
      </w:r>
      <w:r w:rsidRPr="00576C3D">
        <w:tab/>
        <w:t>En medlemsstat skal selge CBAM-sertifikater på en felles sentral plattform til autoriserte CBAM-</w:t>
      </w:r>
      <w:proofErr w:type="spellStart"/>
      <w:r w:rsidRPr="00576C3D">
        <w:t>deklaranter</w:t>
      </w:r>
      <w:proofErr w:type="spellEnd"/>
      <w:r w:rsidRPr="00576C3D">
        <w:t xml:space="preserve"> som er etablert i den aktuelle medlemsstaten.</w:t>
      </w:r>
    </w:p>
    <w:p w14:paraId="01D745CA" w14:textId="77777777" w:rsidR="005D314E" w:rsidRPr="00576C3D" w:rsidRDefault="005D314E" w:rsidP="00576C3D">
      <w:pPr>
        <w:pStyle w:val="friliste"/>
      </w:pPr>
      <w:r w:rsidRPr="00576C3D">
        <w:t>2.</w:t>
      </w:r>
      <w:r w:rsidRPr="00576C3D">
        <w:tab/>
        <w:t>Kommisjonen skal opprette og forvalte den felles sentrale plattformen etter en felles anbudsprosess mellom Kommisjonen og medlemsstatene.</w:t>
      </w:r>
    </w:p>
    <w:p w14:paraId="3A9D04D7" w14:textId="77777777" w:rsidR="005D314E" w:rsidRPr="00576C3D" w:rsidRDefault="005D314E" w:rsidP="00576C3D">
      <w:pPr>
        <w:pStyle w:val="Listeavsnitt"/>
      </w:pPr>
      <w:r w:rsidRPr="00576C3D">
        <w:t>Kommisjonen og vedkommende myndigheter skal ha tilgang til opplysningene i den felles sentrale plattformen.</w:t>
      </w:r>
    </w:p>
    <w:p w14:paraId="34CF7743" w14:textId="77777777" w:rsidR="005D314E" w:rsidRPr="00576C3D" w:rsidRDefault="005D314E" w:rsidP="00576C3D">
      <w:pPr>
        <w:pStyle w:val="friliste"/>
      </w:pPr>
      <w:r w:rsidRPr="00576C3D">
        <w:t>3.</w:t>
      </w:r>
      <w:r w:rsidRPr="00576C3D">
        <w:tab/>
        <w:t>Opplysningene om salg, tilbakekjøp og sletting av CBAM-sertifikater i den felles sentrale plattformen skal overføres til CBAM-registeret på slutten av hver virkedag.</w:t>
      </w:r>
    </w:p>
    <w:p w14:paraId="161F16F1" w14:textId="77777777" w:rsidR="005D314E" w:rsidRPr="00576C3D" w:rsidRDefault="005D314E" w:rsidP="00576C3D">
      <w:pPr>
        <w:pStyle w:val="friliste"/>
      </w:pPr>
      <w:r w:rsidRPr="00576C3D">
        <w:t>4.</w:t>
      </w:r>
      <w:r w:rsidRPr="00576C3D">
        <w:tab/>
        <w:t>CBAM-sertifikater skal selges til autoriserte CBAM-</w:t>
      </w:r>
      <w:proofErr w:type="spellStart"/>
      <w:r w:rsidRPr="00576C3D">
        <w:t>deklaranter</w:t>
      </w:r>
      <w:proofErr w:type="spellEnd"/>
      <w:r w:rsidRPr="00576C3D">
        <w:t xml:space="preserve"> til prisen som er beregnet i samsvar med artikkel 21.</w:t>
      </w:r>
    </w:p>
    <w:p w14:paraId="41BFC79C" w14:textId="77777777" w:rsidR="005D314E" w:rsidRPr="00576C3D" w:rsidRDefault="005D314E" w:rsidP="00576C3D">
      <w:pPr>
        <w:pStyle w:val="friliste"/>
      </w:pPr>
      <w:r w:rsidRPr="00576C3D">
        <w:t>5.</w:t>
      </w:r>
      <w:r w:rsidRPr="00576C3D">
        <w:tab/>
        <w:t>Kommisjonen skal sikre at hvert CBAM-sertifikat tildeles et unikt identifikasjonsnummer når det opprettes. Kommisjonen skal registrere det unike identifikasjonsnummeret og CBAM-sertifikatets pris og salgsdato i CBAM-registeret på kontoen til den autoriserte CBAM-</w:t>
      </w:r>
      <w:proofErr w:type="spellStart"/>
      <w:r w:rsidRPr="00576C3D">
        <w:t>deklaranten</w:t>
      </w:r>
      <w:proofErr w:type="spellEnd"/>
      <w:r w:rsidRPr="00576C3D">
        <w:t xml:space="preserve"> som kjøper sertifikatet.</w:t>
      </w:r>
    </w:p>
    <w:p w14:paraId="75597E04" w14:textId="77777777" w:rsidR="005D314E" w:rsidRPr="00576C3D" w:rsidRDefault="005D314E" w:rsidP="00576C3D">
      <w:pPr>
        <w:pStyle w:val="friliste"/>
      </w:pPr>
      <w:r w:rsidRPr="00576C3D">
        <w:t>6.</w:t>
      </w:r>
      <w:r w:rsidRPr="00576C3D">
        <w:tab/>
        <w:t>Kommisjonen skal vedta delegerte rettsakter i samsvar med artikkel 28 for å utfylle denne forordningen ved nærmere å angi tidsskjema, administrasjon og andre sider ved forvaltningen av salg og tilbakekjøp av CBAM-sertifikater, og søke å oppnå samsvar med framgangsmåtene i kommisjonsforordning (EU) nr. 1031/2010</w:t>
      </w:r>
      <w:r w:rsidRPr="00576C3D">
        <w:rPr>
          <w:rStyle w:val="Fotnotereferanse"/>
        </w:rPr>
        <w:footnoteReference w:id="26"/>
      </w:r>
      <w:r w:rsidRPr="00576C3D">
        <w:t>.</w:t>
      </w:r>
    </w:p>
    <w:p w14:paraId="05445133" w14:textId="77777777" w:rsidR="005D314E" w:rsidRPr="00576C3D" w:rsidRDefault="005D314E" w:rsidP="00576C3D">
      <w:pPr>
        <w:pStyle w:val="avsnitt-undertittel"/>
      </w:pPr>
      <w:r w:rsidRPr="00576C3D">
        <w:t>Artikkel 21</w:t>
      </w:r>
    </w:p>
    <w:p w14:paraId="28EBBAD1" w14:textId="77777777" w:rsidR="005D314E" w:rsidRPr="00576C3D" w:rsidRDefault="005D314E" w:rsidP="00576C3D">
      <w:pPr>
        <w:pStyle w:val="Undertittel"/>
      </w:pPr>
      <w:r w:rsidRPr="00576C3D">
        <w:t>Pris på CBAM-sertifikater</w:t>
      </w:r>
    </w:p>
    <w:p w14:paraId="766A9A9F" w14:textId="77777777" w:rsidR="005D314E" w:rsidRPr="00576C3D" w:rsidRDefault="005D314E" w:rsidP="00576C3D">
      <w:pPr>
        <w:pStyle w:val="friliste"/>
      </w:pPr>
      <w:r w:rsidRPr="00576C3D">
        <w:t>1.</w:t>
      </w:r>
      <w:r w:rsidRPr="00576C3D">
        <w:tab/>
        <w:t>Kommisjonen skal beregne prisen på CBAM-sertifikater som gjennomsnittet av sluttprisene på EU ETS-kvoter på auksjonsplattformen, i samsvar med framgangsmåtene fastsatt i forordning (EU) nr. 1031/2010, for hver kalenderuke.</w:t>
      </w:r>
    </w:p>
    <w:p w14:paraId="72BAB687" w14:textId="77777777" w:rsidR="005D314E" w:rsidRPr="00576C3D" w:rsidRDefault="005D314E" w:rsidP="00576C3D">
      <w:pPr>
        <w:pStyle w:val="Listeavsnitt"/>
      </w:pPr>
      <w:r w:rsidRPr="00576C3D">
        <w:t>For de kalenderukene der det ikke er planlagt auksjoner på auksjonsplattformen, skal prisen på CBAM-sertifikater være gjennomsnittet av sluttprisene på EU ETS-kvoter i den siste uken der auksjoner på auksjonsplattformen fant sted.</w:t>
      </w:r>
    </w:p>
    <w:p w14:paraId="7FF9411D" w14:textId="77777777" w:rsidR="005D314E" w:rsidRPr="00576C3D" w:rsidRDefault="005D314E" w:rsidP="00576C3D">
      <w:pPr>
        <w:pStyle w:val="friliste"/>
      </w:pPr>
      <w:r w:rsidRPr="00576C3D">
        <w:t>2.</w:t>
      </w:r>
      <w:r w:rsidRPr="00576C3D">
        <w:tab/>
        <w:t xml:space="preserve">Kommisjonen skal offentliggjøre gjennomsnittsprisen, som nevnt i nr. 1 andre ledd, på sin nettside eller på annen hensiktsmessig måte den første virkedagen i påfølgende kalenderuke. Denne prisen får </w:t>
      </w:r>
      <w:proofErr w:type="gramStart"/>
      <w:r w:rsidRPr="00576C3D">
        <w:t>anvendelse</w:t>
      </w:r>
      <w:proofErr w:type="gramEnd"/>
      <w:r w:rsidRPr="00576C3D">
        <w:t xml:space="preserve"> fra den første virkedagen etter at den er kunngjort, til den første virkedagen i den påfølgende kalenderuken.</w:t>
      </w:r>
    </w:p>
    <w:p w14:paraId="18440147" w14:textId="77777777" w:rsidR="005D314E" w:rsidRPr="00576C3D" w:rsidRDefault="005D314E" w:rsidP="00576C3D">
      <w:pPr>
        <w:pStyle w:val="friliste"/>
      </w:pPr>
      <w:r w:rsidRPr="00576C3D">
        <w:t>3.</w:t>
      </w:r>
      <w:r w:rsidRPr="00576C3D">
        <w:tab/>
        <w:t xml:space="preserve">Kommisjonen gis myndighet til å vedta gjennomføringsrettsakter for </w:t>
      </w:r>
      <w:proofErr w:type="gramStart"/>
      <w:r w:rsidRPr="00576C3D">
        <w:t>anvendelsen</w:t>
      </w:r>
      <w:proofErr w:type="gramEnd"/>
      <w:r w:rsidRPr="00576C3D">
        <w:t xml:space="preserve"> av metoden fastsatt i nr. 1 i denne artikkel for å beregne gjennomsnittsprisen på CBAM-sertifikater og de praktiske ordningene for offentliggjøring av denne prisen. Disse gjennomføringsrettsaktene skal vedtas i samsvar med undersøkelsesprosedyren som det vises til i artikkel 29 nr. 2.</w:t>
      </w:r>
    </w:p>
    <w:p w14:paraId="03F1D17F" w14:textId="77777777" w:rsidR="005D314E" w:rsidRPr="00576C3D" w:rsidRDefault="005D314E" w:rsidP="00576C3D">
      <w:pPr>
        <w:pStyle w:val="avsnitt-undertittel"/>
      </w:pPr>
      <w:r w:rsidRPr="00576C3D">
        <w:t>Artikkel 22</w:t>
      </w:r>
    </w:p>
    <w:p w14:paraId="6EFE9A4C" w14:textId="77777777" w:rsidR="005D314E" w:rsidRPr="00576C3D" w:rsidRDefault="005D314E" w:rsidP="00576C3D">
      <w:pPr>
        <w:pStyle w:val="Undertittel"/>
      </w:pPr>
      <w:r w:rsidRPr="00576C3D">
        <w:t>Innlevering av CBAM-sertifikater</w:t>
      </w:r>
    </w:p>
    <w:p w14:paraId="38725969" w14:textId="77777777" w:rsidR="005D314E" w:rsidRPr="00576C3D" w:rsidRDefault="005D314E" w:rsidP="00576C3D">
      <w:pPr>
        <w:pStyle w:val="friliste"/>
      </w:pPr>
      <w:r w:rsidRPr="00576C3D">
        <w:t>1.</w:t>
      </w:r>
      <w:r w:rsidRPr="00576C3D">
        <w:tab/>
        <w:t>Innen 31. mai hvert år, og første gang i 2027 for 2026, skal den autoriserte CBAM-</w:t>
      </w:r>
      <w:proofErr w:type="spellStart"/>
      <w:r w:rsidRPr="00576C3D">
        <w:t>deklaranten</w:t>
      </w:r>
      <w:proofErr w:type="spellEnd"/>
      <w:r w:rsidRPr="00576C3D">
        <w:t xml:space="preserve"> innlevere via CBAM-registeret et antall CBAM-sertifikater som tilsvarer de innbakte utslippene som er oppgitt i samsvar med artikkel 6 nr. 2 bokstav c), og verifisert i samsvar med artikkel 8, for kalenderåret før innleveringen. Kommisjonen skal fjerne innleverte CBAM-sertifikater fra CBAM-registeret. Den autoriserte CBAM-</w:t>
      </w:r>
      <w:proofErr w:type="spellStart"/>
      <w:r w:rsidRPr="00576C3D">
        <w:t>deklaranten</w:t>
      </w:r>
      <w:proofErr w:type="spellEnd"/>
      <w:r w:rsidRPr="00576C3D">
        <w:t xml:space="preserve"> skal sikre at det nødvendige antallet CBAM-sertifikater er tilgjengelig på dennes konto i CBAM-registeret.</w:t>
      </w:r>
    </w:p>
    <w:p w14:paraId="15DCD81B" w14:textId="77777777" w:rsidR="005D314E" w:rsidRPr="00576C3D" w:rsidRDefault="005D314E" w:rsidP="00576C3D">
      <w:pPr>
        <w:pStyle w:val="friliste"/>
      </w:pPr>
      <w:r w:rsidRPr="00576C3D">
        <w:t>2.</w:t>
      </w:r>
      <w:r w:rsidRPr="00576C3D">
        <w:tab/>
        <w:t>Den autoriserte CBAM-</w:t>
      </w:r>
      <w:proofErr w:type="spellStart"/>
      <w:r w:rsidRPr="00576C3D">
        <w:t>deklaranten</w:t>
      </w:r>
      <w:proofErr w:type="spellEnd"/>
      <w:r w:rsidRPr="00576C3D">
        <w:t xml:space="preserve"> skal sikre at antallet CBAM-sertifikater på </w:t>
      </w:r>
      <w:proofErr w:type="spellStart"/>
      <w:r w:rsidRPr="00576C3D">
        <w:t>vedkommendes</w:t>
      </w:r>
      <w:proofErr w:type="spellEnd"/>
      <w:r w:rsidRPr="00576C3D">
        <w:t xml:space="preserve"> konto i CBAM-registeret ved utgangen av hvert kvartal tilsvarer minst 80 % av de innbakte utslippene, bestemt ved henvisning til standardverdier i samsvar med metodene fastsatt i vedlegg IV, fra alle varer </w:t>
      </w:r>
      <w:proofErr w:type="spellStart"/>
      <w:r w:rsidRPr="00576C3D">
        <w:t>deklaranten</w:t>
      </w:r>
      <w:proofErr w:type="spellEnd"/>
      <w:r w:rsidRPr="00576C3D">
        <w:t xml:space="preserve"> har importert siden begynnelsen av kalenderåret.</w:t>
      </w:r>
    </w:p>
    <w:p w14:paraId="545B37CF" w14:textId="77777777" w:rsidR="005D314E" w:rsidRPr="00576C3D" w:rsidRDefault="005D314E" w:rsidP="00576C3D">
      <w:pPr>
        <w:pStyle w:val="friliste"/>
      </w:pPr>
      <w:r w:rsidRPr="00576C3D">
        <w:t>3.</w:t>
      </w:r>
      <w:r w:rsidRPr="00576C3D">
        <w:tab/>
        <w:t>Dersom Kommisjonen finner at antallet CBAM-sertifikater på kontoen til en autorisert CBAM-</w:t>
      </w:r>
      <w:proofErr w:type="spellStart"/>
      <w:r w:rsidRPr="00576C3D">
        <w:t>deklarant</w:t>
      </w:r>
      <w:proofErr w:type="spellEnd"/>
      <w:r w:rsidRPr="00576C3D">
        <w:t xml:space="preserve"> ikke oppfyller forpliktelsene i henhold til nr. 2, skal den via CBAM-registeret underrette vedkommende myndighet i medlemsstaten der den autoriserte CBAM-</w:t>
      </w:r>
      <w:proofErr w:type="spellStart"/>
      <w:r w:rsidRPr="00576C3D">
        <w:t>deklaranten</w:t>
      </w:r>
      <w:proofErr w:type="spellEnd"/>
      <w:r w:rsidRPr="00576C3D">
        <w:t xml:space="preserve"> er etablert.</w:t>
      </w:r>
    </w:p>
    <w:p w14:paraId="4A78DC49" w14:textId="77777777" w:rsidR="005D314E" w:rsidRPr="00576C3D" w:rsidRDefault="005D314E" w:rsidP="00576C3D">
      <w:pPr>
        <w:pStyle w:val="Listeavsnitt"/>
      </w:pPr>
      <w:r w:rsidRPr="00576C3D">
        <w:t>Vedkommende myndighet skal underrette den autoriserte CBAM-</w:t>
      </w:r>
      <w:proofErr w:type="spellStart"/>
      <w:r w:rsidRPr="00576C3D">
        <w:t>deklaranten</w:t>
      </w:r>
      <w:proofErr w:type="spellEnd"/>
      <w:r w:rsidRPr="00576C3D">
        <w:t xml:space="preserve"> om behovet for å sikre et tilstrekkelig antall CBAM-sertifikater på </w:t>
      </w:r>
      <w:proofErr w:type="spellStart"/>
      <w:r w:rsidRPr="00576C3D">
        <w:t>deklarantens</w:t>
      </w:r>
      <w:proofErr w:type="spellEnd"/>
      <w:r w:rsidRPr="00576C3D">
        <w:t xml:space="preserve"> konto innen én måned etter slik underretning.</w:t>
      </w:r>
    </w:p>
    <w:p w14:paraId="19A7BF6D" w14:textId="77777777" w:rsidR="005D314E" w:rsidRPr="00576C3D" w:rsidRDefault="005D314E" w:rsidP="00576C3D">
      <w:pPr>
        <w:pStyle w:val="Listeavsnitt"/>
      </w:pPr>
      <w:r w:rsidRPr="00576C3D">
        <w:t>Vedkommende myndighet skal registrere meldingen til og svaret fra den autoriserte CBAM-</w:t>
      </w:r>
      <w:proofErr w:type="spellStart"/>
      <w:r w:rsidRPr="00576C3D">
        <w:t>deklaranten</w:t>
      </w:r>
      <w:proofErr w:type="spellEnd"/>
      <w:r w:rsidRPr="00576C3D">
        <w:t xml:space="preserve"> i CBAM-registeret.</w:t>
      </w:r>
    </w:p>
    <w:p w14:paraId="53678972" w14:textId="77777777" w:rsidR="005D314E" w:rsidRPr="00576C3D" w:rsidRDefault="005D314E" w:rsidP="00576C3D">
      <w:pPr>
        <w:pStyle w:val="avsnitt-undertittel"/>
      </w:pPr>
      <w:r w:rsidRPr="00576C3D">
        <w:t>Artikkel 23</w:t>
      </w:r>
    </w:p>
    <w:p w14:paraId="4610B3E1" w14:textId="77777777" w:rsidR="005D314E" w:rsidRPr="00576C3D" w:rsidRDefault="005D314E" w:rsidP="00576C3D">
      <w:pPr>
        <w:pStyle w:val="Undertittel"/>
      </w:pPr>
      <w:r w:rsidRPr="00576C3D">
        <w:t>Tilbakekjøp av CBAM-sertifikater</w:t>
      </w:r>
    </w:p>
    <w:p w14:paraId="09D193EF" w14:textId="77777777" w:rsidR="005D314E" w:rsidRPr="00576C3D" w:rsidRDefault="005D314E" w:rsidP="00576C3D">
      <w:pPr>
        <w:pStyle w:val="friliste"/>
      </w:pPr>
      <w:r w:rsidRPr="00576C3D">
        <w:t>1.</w:t>
      </w:r>
      <w:r w:rsidRPr="00576C3D">
        <w:tab/>
        <w:t>Dersom en autorisert CBAM-</w:t>
      </w:r>
      <w:proofErr w:type="spellStart"/>
      <w:r w:rsidRPr="00576C3D">
        <w:t>deklarant</w:t>
      </w:r>
      <w:proofErr w:type="spellEnd"/>
      <w:r w:rsidRPr="00576C3D">
        <w:t xml:space="preserve"> anmoder om det, skal medlemsstaten der den autoriserte CBAM-</w:t>
      </w:r>
      <w:proofErr w:type="spellStart"/>
      <w:r w:rsidRPr="00576C3D">
        <w:t>deklaranten</w:t>
      </w:r>
      <w:proofErr w:type="spellEnd"/>
      <w:r w:rsidRPr="00576C3D">
        <w:t xml:space="preserve"> er etablert, kjøpe tilbake de overskytende CBAM-sertifikatene som er igjen på </w:t>
      </w:r>
      <w:proofErr w:type="spellStart"/>
      <w:r w:rsidRPr="00576C3D">
        <w:t>deklarantens</w:t>
      </w:r>
      <w:proofErr w:type="spellEnd"/>
      <w:r w:rsidRPr="00576C3D">
        <w:t xml:space="preserve"> konto i CBAM-registeret etter at sertifikatene er innlevert i samsvar med artikkel 22.</w:t>
      </w:r>
    </w:p>
    <w:p w14:paraId="4824FF75" w14:textId="77777777" w:rsidR="005D314E" w:rsidRPr="00576C3D" w:rsidRDefault="005D314E" w:rsidP="00576C3D">
      <w:pPr>
        <w:pStyle w:val="Listeavsnitt"/>
      </w:pPr>
      <w:r w:rsidRPr="00576C3D">
        <w:t>Kommisjonen skal kjøpe tilbake de overskytende CBAM-sertifikatene gjennom den felles sentrale plattformen nevnt i artikkel 20 på vegne av medlemsstaten der den autoriserte CBAM-</w:t>
      </w:r>
      <w:proofErr w:type="spellStart"/>
      <w:r w:rsidRPr="00576C3D">
        <w:t>deklaranten</w:t>
      </w:r>
      <w:proofErr w:type="spellEnd"/>
      <w:r w:rsidRPr="00576C3D">
        <w:t xml:space="preserve"> er etablert. Den autoriserte CBAM-</w:t>
      </w:r>
      <w:proofErr w:type="spellStart"/>
      <w:r w:rsidRPr="00576C3D">
        <w:t>deklaranten</w:t>
      </w:r>
      <w:proofErr w:type="spellEnd"/>
      <w:r w:rsidRPr="00576C3D">
        <w:t xml:space="preserve"> skal sende inn anmodningen om tilbakekjøp innen 30. juni hvert år der CBAM-sertifikater ble innlevert.</w:t>
      </w:r>
    </w:p>
    <w:p w14:paraId="4E68F7DB" w14:textId="77777777" w:rsidR="005D314E" w:rsidRPr="00576C3D" w:rsidRDefault="005D314E" w:rsidP="00576C3D">
      <w:pPr>
        <w:pStyle w:val="friliste"/>
      </w:pPr>
      <w:r w:rsidRPr="00576C3D">
        <w:t>2.</w:t>
      </w:r>
      <w:r w:rsidRPr="00576C3D">
        <w:tab/>
        <w:t>Antall sertifikater som er gjenstand for tilbakekjøp som nevnt i nr. 1, skal begrenses til en tredjedel av det samlede antallet CBAM-sertifikater som er kjøpt av den autoriserte CBAM-</w:t>
      </w:r>
      <w:proofErr w:type="spellStart"/>
      <w:r w:rsidRPr="00576C3D">
        <w:t>deklaranten</w:t>
      </w:r>
      <w:proofErr w:type="spellEnd"/>
      <w:r w:rsidRPr="00576C3D">
        <w:t xml:space="preserve"> i løpet av det foregående kalenderåret.</w:t>
      </w:r>
    </w:p>
    <w:p w14:paraId="2BF969EC" w14:textId="77777777" w:rsidR="005D314E" w:rsidRPr="00576C3D" w:rsidRDefault="005D314E" w:rsidP="00576C3D">
      <w:pPr>
        <w:pStyle w:val="friliste"/>
      </w:pPr>
      <w:r w:rsidRPr="00576C3D">
        <w:t>3.</w:t>
      </w:r>
      <w:r w:rsidRPr="00576C3D">
        <w:tab/>
        <w:t>Tilbakekjøpsprisen for hvert CBAM-sertifikat skal være prisen betalt av den autoriserte CBAM-</w:t>
      </w:r>
      <w:proofErr w:type="spellStart"/>
      <w:r w:rsidRPr="00576C3D">
        <w:t>deklaranten</w:t>
      </w:r>
      <w:proofErr w:type="spellEnd"/>
      <w:r w:rsidRPr="00576C3D">
        <w:t xml:space="preserve"> for det aktuelle sertifikatet på kjøpstidspunktet.</w:t>
      </w:r>
    </w:p>
    <w:p w14:paraId="1A6142A7" w14:textId="77777777" w:rsidR="005D314E" w:rsidRPr="00576C3D" w:rsidRDefault="005D314E" w:rsidP="00576C3D">
      <w:pPr>
        <w:pStyle w:val="avsnitt-undertittel"/>
      </w:pPr>
      <w:r w:rsidRPr="00576C3D">
        <w:t>Artikkel 24</w:t>
      </w:r>
    </w:p>
    <w:p w14:paraId="2046B1D3" w14:textId="77777777" w:rsidR="005D314E" w:rsidRPr="00576C3D" w:rsidRDefault="005D314E" w:rsidP="00576C3D">
      <w:pPr>
        <w:pStyle w:val="Undertittel"/>
      </w:pPr>
      <w:r w:rsidRPr="00576C3D">
        <w:t>Sletting av CBAM-sertifikater</w:t>
      </w:r>
    </w:p>
    <w:p w14:paraId="5320A51F" w14:textId="77777777" w:rsidR="005D314E" w:rsidRPr="00576C3D" w:rsidRDefault="005D314E" w:rsidP="00576C3D">
      <w:r w:rsidRPr="00576C3D">
        <w:t>Den 1. juli hvert år skal Kommisjonen slette alle CBAM-sertifikater som ble kjøpt i løpet av året før det foregående kalenderåret, og som ble stående på kontoen til en autorisert CBAM-</w:t>
      </w:r>
      <w:proofErr w:type="spellStart"/>
      <w:r w:rsidRPr="00576C3D">
        <w:t>deklarant</w:t>
      </w:r>
      <w:proofErr w:type="spellEnd"/>
      <w:r w:rsidRPr="00576C3D">
        <w:t xml:space="preserve"> i CBAM-registeret. Disse CBAM-sertifikatene skal slettes uten vederlag.</w:t>
      </w:r>
    </w:p>
    <w:p w14:paraId="266B7C51" w14:textId="77777777" w:rsidR="005D314E" w:rsidRPr="00576C3D" w:rsidRDefault="005D314E" w:rsidP="00576C3D">
      <w:r w:rsidRPr="00576C3D">
        <w:t>Dersom antallet CBAM-sertifikater som skal innleveres, bestrides i en pågående tvist i en medlemsstat, skal Kommisjonen suspendere slettingen av CBAM-sertifikatene i et omfang som tilsvarer det omtvistede beløpet. Vedkommende myndighet i medlemsstaten der den autoriserte CBAM-</w:t>
      </w:r>
      <w:proofErr w:type="spellStart"/>
      <w:r w:rsidRPr="00576C3D">
        <w:t>deklaranten</w:t>
      </w:r>
      <w:proofErr w:type="spellEnd"/>
      <w:r w:rsidRPr="00576C3D">
        <w:t xml:space="preserve"> er etablert, skal uten opphold oversende alle relevante opplysninger til Kommisjonen.</w:t>
      </w:r>
    </w:p>
    <w:p w14:paraId="048CF20A" w14:textId="77777777" w:rsidR="005D314E" w:rsidRPr="00576C3D" w:rsidRDefault="005D314E" w:rsidP="00576C3D">
      <w:pPr>
        <w:pStyle w:val="avsnitt-undertittel"/>
      </w:pPr>
      <w:r w:rsidRPr="00576C3D">
        <w:t>Kapittel V</w:t>
      </w:r>
    </w:p>
    <w:p w14:paraId="2E2E2F78" w14:textId="77777777" w:rsidR="005D314E" w:rsidRPr="00576C3D" w:rsidRDefault="005D314E" w:rsidP="00576C3D">
      <w:pPr>
        <w:pStyle w:val="Undertittel"/>
      </w:pPr>
      <w:r w:rsidRPr="00576C3D">
        <w:t>Regler for import av varer</w:t>
      </w:r>
    </w:p>
    <w:p w14:paraId="3CDFCD29" w14:textId="77777777" w:rsidR="005D314E" w:rsidRPr="00576C3D" w:rsidRDefault="005D314E" w:rsidP="00576C3D">
      <w:pPr>
        <w:pStyle w:val="avsnitt-undertittel"/>
      </w:pPr>
      <w:r w:rsidRPr="00576C3D">
        <w:t>Artikkel 25</w:t>
      </w:r>
    </w:p>
    <w:p w14:paraId="70CE6B11" w14:textId="77777777" w:rsidR="005D314E" w:rsidRPr="00576C3D" w:rsidRDefault="005D314E" w:rsidP="00576C3D">
      <w:pPr>
        <w:pStyle w:val="Undertittel"/>
      </w:pPr>
      <w:r w:rsidRPr="00576C3D">
        <w:t>Regler for import av varer</w:t>
      </w:r>
    </w:p>
    <w:p w14:paraId="39EE6ED3" w14:textId="77777777" w:rsidR="005D314E" w:rsidRPr="00576C3D" w:rsidRDefault="005D314E" w:rsidP="00576C3D">
      <w:pPr>
        <w:pStyle w:val="friliste"/>
      </w:pPr>
      <w:r w:rsidRPr="00576C3D">
        <w:t>1.</w:t>
      </w:r>
      <w:r w:rsidRPr="00576C3D">
        <w:tab/>
        <w:t>Tollmyndighetene skal ikke tillate at varer importeres av andre personer enn en autorisert CBAM-</w:t>
      </w:r>
      <w:proofErr w:type="spellStart"/>
      <w:r w:rsidRPr="00576C3D">
        <w:t>deklarant</w:t>
      </w:r>
      <w:proofErr w:type="spellEnd"/>
      <w:r w:rsidRPr="00576C3D">
        <w:t>.</w:t>
      </w:r>
    </w:p>
    <w:p w14:paraId="0B1E740A" w14:textId="77777777" w:rsidR="005D314E" w:rsidRPr="00576C3D" w:rsidRDefault="005D314E" w:rsidP="00576C3D">
      <w:pPr>
        <w:pStyle w:val="friliste"/>
      </w:pPr>
      <w:r w:rsidRPr="00576C3D">
        <w:t>2.</w:t>
      </w:r>
      <w:r w:rsidRPr="00576C3D">
        <w:tab/>
        <w:t>Tollmyndighetene skal periodisk og automatisk, særlig ved hjelp av tilsynsmekanismen som er fastsatt i henhold til artikkel 56 nr. 5 i forordning (EU) nr. 952/2013, meddele Kommisjonen spesifikke opplysninger om varene som er deklarert for import. Disse opplysningene skal omfatte den autoriserte CBAM-</w:t>
      </w:r>
      <w:proofErr w:type="spellStart"/>
      <w:r w:rsidRPr="00576C3D">
        <w:t>deklarantens</w:t>
      </w:r>
      <w:proofErr w:type="spellEnd"/>
      <w:r w:rsidRPr="00576C3D">
        <w:t xml:space="preserve"> EORI-nummer og CBAM-kontonummer, varenes </w:t>
      </w:r>
      <w:proofErr w:type="spellStart"/>
      <w:r w:rsidRPr="00576C3D">
        <w:t>åttesifrede</w:t>
      </w:r>
      <w:proofErr w:type="spellEnd"/>
      <w:r w:rsidRPr="00576C3D">
        <w:t xml:space="preserve"> KN-kode, mengde, opprinnelsesland, datoen for tolldeklarasjonen og tollprosedyren.</w:t>
      </w:r>
    </w:p>
    <w:p w14:paraId="2A565FE0" w14:textId="77777777" w:rsidR="005D314E" w:rsidRPr="00576C3D" w:rsidRDefault="005D314E" w:rsidP="00576C3D">
      <w:pPr>
        <w:pStyle w:val="friliste"/>
      </w:pPr>
      <w:r w:rsidRPr="00576C3D">
        <w:t>3.</w:t>
      </w:r>
      <w:r w:rsidRPr="00576C3D">
        <w:tab/>
        <w:t>Kommisjonen skal oversende opplysningene nevnt i nr. 2 i denne artikkelen til vedkommende myndighet i medlemsstaten der den autoriserte CBAM-</w:t>
      </w:r>
      <w:proofErr w:type="spellStart"/>
      <w:r w:rsidRPr="00576C3D">
        <w:t>deklaranten</w:t>
      </w:r>
      <w:proofErr w:type="spellEnd"/>
      <w:r w:rsidRPr="00576C3D">
        <w:t xml:space="preserve"> er etablert, og skal for hver CBAM-</w:t>
      </w:r>
      <w:proofErr w:type="spellStart"/>
      <w:r w:rsidRPr="00576C3D">
        <w:t>deklarant</w:t>
      </w:r>
      <w:proofErr w:type="spellEnd"/>
      <w:r w:rsidRPr="00576C3D">
        <w:t xml:space="preserve"> kryssjekke disse opplysningene med opplysningene i CBAM-registeret i henhold til artikkel 14.</w:t>
      </w:r>
    </w:p>
    <w:p w14:paraId="4EA8EFB6" w14:textId="77777777" w:rsidR="005D314E" w:rsidRPr="00576C3D" w:rsidRDefault="005D314E" w:rsidP="00576C3D">
      <w:pPr>
        <w:pStyle w:val="friliste"/>
      </w:pPr>
      <w:r w:rsidRPr="00576C3D">
        <w:t>4.</w:t>
      </w:r>
      <w:r w:rsidRPr="00576C3D">
        <w:tab/>
        <w:t>Tollmyndighetene kan i henhold til artikkel 12 nr. 1 i forordning (EU) nr. 952/2013 oversende fortrolige opplysninger som de har innhentet under utførelsen av sine oppgaver, eller som er gitt til tollmyndighetene på fortrolig grunnlag, til Kommisjonen og vedkommende myndighet i medlemsstaten som har tildelt status som autorisert CBAM-</w:t>
      </w:r>
      <w:proofErr w:type="spellStart"/>
      <w:r w:rsidRPr="00576C3D">
        <w:t>deklarant</w:t>
      </w:r>
      <w:proofErr w:type="spellEnd"/>
      <w:r w:rsidRPr="00576C3D">
        <w:t>.</w:t>
      </w:r>
    </w:p>
    <w:p w14:paraId="42010311" w14:textId="77777777" w:rsidR="005D314E" w:rsidRPr="00576C3D" w:rsidRDefault="005D314E" w:rsidP="00576C3D">
      <w:pPr>
        <w:pStyle w:val="friliste"/>
      </w:pPr>
      <w:r w:rsidRPr="00576C3D">
        <w:t>5.</w:t>
      </w:r>
      <w:r w:rsidRPr="00576C3D">
        <w:tab/>
        <w:t>Forordning (EF) nr. 515/97 gjelder tilsvarende med nødvendige endringer på denne forordningen.</w:t>
      </w:r>
    </w:p>
    <w:p w14:paraId="3BDF76DF" w14:textId="77777777" w:rsidR="005D314E" w:rsidRPr="00576C3D" w:rsidRDefault="005D314E" w:rsidP="00576C3D">
      <w:pPr>
        <w:pStyle w:val="friliste"/>
      </w:pPr>
      <w:r w:rsidRPr="00576C3D">
        <w:t>6.</w:t>
      </w:r>
      <w:r w:rsidRPr="00576C3D">
        <w:tab/>
        <w:t>Kommisjonen gis myndighet til å vedta gjennomføringsrettsakter som fastsetter omfanget av opplysningene og hyppigheten av, tidspunktet for og midlene for overføring av disse opplysningene i henhold til nr. 2 i denne artikkelen. Disse gjennomføringsrettsaktene skal vedtas i samsvar med undersøkelsesprosedyren som det vises til i artikkel 29 nr. 2.</w:t>
      </w:r>
    </w:p>
    <w:p w14:paraId="06E01EBC" w14:textId="77777777" w:rsidR="005D314E" w:rsidRPr="00576C3D" w:rsidRDefault="005D314E" w:rsidP="00576C3D">
      <w:pPr>
        <w:pStyle w:val="avsnitt-undertittel"/>
      </w:pPr>
      <w:r w:rsidRPr="00576C3D">
        <w:t>Kapittel VI</w:t>
      </w:r>
    </w:p>
    <w:p w14:paraId="5F07BDFA" w14:textId="77777777" w:rsidR="005D314E" w:rsidRPr="00576C3D" w:rsidRDefault="005D314E" w:rsidP="00576C3D">
      <w:pPr>
        <w:pStyle w:val="Undertittel"/>
      </w:pPr>
      <w:r w:rsidRPr="00576C3D">
        <w:t>Håndheving</w:t>
      </w:r>
    </w:p>
    <w:p w14:paraId="47101C0D" w14:textId="77777777" w:rsidR="005D314E" w:rsidRPr="00576C3D" w:rsidRDefault="005D314E" w:rsidP="00576C3D">
      <w:pPr>
        <w:pStyle w:val="avsnitt-undertittel"/>
      </w:pPr>
      <w:r w:rsidRPr="00576C3D">
        <w:t>Artikkel 26</w:t>
      </w:r>
    </w:p>
    <w:p w14:paraId="5010FEB5" w14:textId="77777777" w:rsidR="005D314E" w:rsidRPr="00576C3D" w:rsidRDefault="005D314E" w:rsidP="00576C3D">
      <w:pPr>
        <w:pStyle w:val="Undertittel"/>
      </w:pPr>
      <w:r w:rsidRPr="00576C3D">
        <w:t>Sanksjoner</w:t>
      </w:r>
    </w:p>
    <w:p w14:paraId="37083361" w14:textId="77777777" w:rsidR="005D314E" w:rsidRPr="00576C3D" w:rsidRDefault="005D314E" w:rsidP="00576C3D">
      <w:pPr>
        <w:pStyle w:val="friliste"/>
      </w:pPr>
      <w:r w:rsidRPr="00576C3D">
        <w:t>1.</w:t>
      </w:r>
      <w:r w:rsidRPr="00576C3D">
        <w:tab/>
        <w:t>En autorisert CBAM-</w:t>
      </w:r>
      <w:proofErr w:type="spellStart"/>
      <w:r w:rsidRPr="00576C3D">
        <w:t>deklarant</w:t>
      </w:r>
      <w:proofErr w:type="spellEnd"/>
      <w:r w:rsidRPr="00576C3D">
        <w:t xml:space="preserve"> som ikke innleverer, innen 31. mai hvert år, antallet CBAM-sertifikater som tilsvarer utslippene som er innbakt i varer importert i foregående kalenderår, skal pålegges å betale et overtredelsesgebyr. Et slikt overtredelsesgebyr skal være identisk med boten for utslippsoverskridelse fastsatt i artikkel 16 nr. 3 i direktiv 2003/87/EF og økt i henhold til artikkel 16 nr. 4 i det nevnte direktivet, som gjelder i importåret for varene. Et slikt overtredelsesgebyr skal gjelde for hvert CBAM-sertifikat som den autoriserte CBAM-</w:t>
      </w:r>
      <w:proofErr w:type="spellStart"/>
      <w:r w:rsidRPr="00576C3D">
        <w:t>deklaranten</w:t>
      </w:r>
      <w:proofErr w:type="spellEnd"/>
      <w:r w:rsidRPr="00576C3D">
        <w:t xml:space="preserve"> ikke har innlevert.</w:t>
      </w:r>
    </w:p>
    <w:p w14:paraId="50A7F0F8" w14:textId="77777777" w:rsidR="005D314E" w:rsidRPr="00576C3D" w:rsidRDefault="005D314E" w:rsidP="00576C3D">
      <w:pPr>
        <w:pStyle w:val="friliste"/>
      </w:pPr>
      <w:r w:rsidRPr="00576C3D">
        <w:t>2.</w:t>
      </w:r>
      <w:r w:rsidRPr="00576C3D">
        <w:tab/>
        <w:t>Når en annen person enn en autorisert CBAM-</w:t>
      </w:r>
      <w:proofErr w:type="spellStart"/>
      <w:r w:rsidRPr="00576C3D">
        <w:t>deklarant</w:t>
      </w:r>
      <w:proofErr w:type="spellEnd"/>
      <w:r w:rsidRPr="00576C3D">
        <w:t xml:space="preserve"> importerer varer til Unionens tollområde uten å oppfylle forpliktelsene i henhold til denne forordningen, skal denne personen pålegges å betale et overtredelsesgebyr. Et slikt overtredelsesgebyr skal være effektivt, stå i forhold til overtredelsen og virke avskrekkende, og skal, særlig avhengig av den manglende overholdelsens varighet, alvorlighetsgrad, omfang, forsettlige karakter og om den er gjentatt, samt i hvilken grad personen samarbeider med vedkommende myndighet, være et beløp som er tre til fem ganger gebyret nevnt i nr. 1, som gjelder i året for import av varene, for hvert CBAM-sertifikat som personen ikke har innlevert.</w:t>
      </w:r>
    </w:p>
    <w:p w14:paraId="55D4470A" w14:textId="77777777" w:rsidR="005D314E" w:rsidRPr="00576C3D" w:rsidRDefault="005D314E" w:rsidP="00576C3D">
      <w:pPr>
        <w:pStyle w:val="friliste"/>
      </w:pPr>
      <w:r w:rsidRPr="00576C3D">
        <w:t>3.</w:t>
      </w:r>
      <w:r w:rsidRPr="00576C3D">
        <w:tab/>
        <w:t>Betalingen av gebyret skal ikke frita den autoriserte CBAM-</w:t>
      </w:r>
      <w:proofErr w:type="spellStart"/>
      <w:r w:rsidRPr="00576C3D">
        <w:t>deklaranten</w:t>
      </w:r>
      <w:proofErr w:type="spellEnd"/>
      <w:r w:rsidRPr="00576C3D">
        <w:t xml:space="preserve"> fra plikten til å innlevere det utestående antallet CBAM-sertifikater i et gitt år.</w:t>
      </w:r>
    </w:p>
    <w:p w14:paraId="4BB62884" w14:textId="77777777" w:rsidR="005D314E" w:rsidRPr="00576C3D" w:rsidRDefault="005D314E" w:rsidP="00576C3D">
      <w:pPr>
        <w:pStyle w:val="friliste"/>
      </w:pPr>
      <w:r w:rsidRPr="00576C3D">
        <w:t>4.</w:t>
      </w:r>
      <w:r w:rsidRPr="00576C3D">
        <w:tab/>
        <w:t>Dersom vedkommende myndighet fastslår, herunder i lys av Kommisjonens foreløpige beregninger i samsvar med artikkel 19, at en autorisert CBAM-</w:t>
      </w:r>
      <w:proofErr w:type="spellStart"/>
      <w:r w:rsidRPr="00576C3D">
        <w:t>deklarant</w:t>
      </w:r>
      <w:proofErr w:type="spellEnd"/>
      <w:r w:rsidRPr="00576C3D">
        <w:t xml:space="preserve"> har unnlatt å oppfylle plikten til å innlevere CBAM-sertifikater som fastsatt i nr. 1 i denne artikkelen, eller at en person har importert varer til Unionens tollområde uten å oppfylle pliktene i henhold til denne forordningen som fastsatt i nr. 2 i denne artikkelen, skal vedkommende myndighet ilegge overtredelsesgebyret i henhold til nr. 1 eller 2 i denne artikkelen, alt etter hva som er relevant. For dette formål skal vedkommende myndighet underrette den autoriserte CBAM-</w:t>
      </w:r>
      <w:proofErr w:type="spellStart"/>
      <w:r w:rsidRPr="00576C3D">
        <w:t>deklaranten</w:t>
      </w:r>
      <w:proofErr w:type="spellEnd"/>
      <w:r w:rsidRPr="00576C3D">
        <w:t xml:space="preserve"> eller, der nr. 2 i denne artikkelen gjelder, personen, om</w:t>
      </w:r>
    </w:p>
    <w:p w14:paraId="263D40A6" w14:textId="77777777" w:rsidR="005D314E" w:rsidRPr="00576C3D" w:rsidRDefault="005D314E" w:rsidP="00576C3D">
      <w:pPr>
        <w:pStyle w:val="friliste2"/>
      </w:pPr>
      <w:r w:rsidRPr="00576C3D">
        <w:t>a)</w:t>
      </w:r>
      <w:r w:rsidRPr="00576C3D">
        <w:tab/>
        <w:t>at vedkommende myndighet har konkludert med at den autoriserte CBAM-</w:t>
      </w:r>
      <w:proofErr w:type="spellStart"/>
      <w:r w:rsidRPr="00576C3D">
        <w:t>deklaranten</w:t>
      </w:r>
      <w:proofErr w:type="spellEnd"/>
      <w:r w:rsidRPr="00576C3D">
        <w:t xml:space="preserve"> eller personen nevnt i nr. 2 i denne artikkelen ikke har oppfylt forpliktelsene i henhold til denne forordningen,</w:t>
      </w:r>
    </w:p>
    <w:p w14:paraId="16E5DAFA" w14:textId="77777777" w:rsidR="005D314E" w:rsidRPr="00576C3D" w:rsidRDefault="005D314E" w:rsidP="00576C3D">
      <w:pPr>
        <w:pStyle w:val="friliste2"/>
      </w:pPr>
      <w:r w:rsidRPr="00576C3D">
        <w:t>b)</w:t>
      </w:r>
      <w:r w:rsidRPr="00576C3D">
        <w:tab/>
        <w:t>begrunnelsen for konklusjonen,</w:t>
      </w:r>
    </w:p>
    <w:p w14:paraId="0B0E64EB" w14:textId="77777777" w:rsidR="005D314E" w:rsidRPr="00576C3D" w:rsidRDefault="005D314E" w:rsidP="00576C3D">
      <w:pPr>
        <w:pStyle w:val="friliste2"/>
      </w:pPr>
      <w:r w:rsidRPr="00576C3D">
        <w:t>c)</w:t>
      </w:r>
      <w:r w:rsidRPr="00576C3D">
        <w:tab/>
        <w:t>overtredelsesgebyret pålagt den autoriserte CBAM-</w:t>
      </w:r>
      <w:proofErr w:type="spellStart"/>
      <w:r w:rsidRPr="00576C3D">
        <w:t>deklaranten</w:t>
      </w:r>
      <w:proofErr w:type="spellEnd"/>
      <w:r w:rsidRPr="00576C3D">
        <w:t xml:space="preserve"> eller personen nevnt i nr. 2 i denne artikkelen,</w:t>
      </w:r>
    </w:p>
    <w:p w14:paraId="42423269" w14:textId="77777777" w:rsidR="005D314E" w:rsidRPr="00576C3D" w:rsidRDefault="005D314E" w:rsidP="00576C3D">
      <w:pPr>
        <w:pStyle w:val="friliste2"/>
      </w:pPr>
      <w:r w:rsidRPr="00576C3D">
        <w:t>d)</w:t>
      </w:r>
      <w:r w:rsidRPr="00576C3D">
        <w:tab/>
        <w:t>datoen overtredelsesgebyret forfaller til betaling,</w:t>
      </w:r>
    </w:p>
    <w:p w14:paraId="0094B1FA" w14:textId="77777777" w:rsidR="005D314E" w:rsidRPr="00576C3D" w:rsidRDefault="005D314E" w:rsidP="00576C3D">
      <w:pPr>
        <w:pStyle w:val="friliste2"/>
      </w:pPr>
      <w:r w:rsidRPr="00576C3D">
        <w:t>e)</w:t>
      </w:r>
      <w:r w:rsidRPr="00576C3D">
        <w:tab/>
        <w:t>handlingen som den autoriserte CBAM-</w:t>
      </w:r>
      <w:proofErr w:type="spellStart"/>
      <w:r w:rsidRPr="00576C3D">
        <w:t>deklaranten</w:t>
      </w:r>
      <w:proofErr w:type="spellEnd"/>
      <w:r w:rsidRPr="00576C3D">
        <w:t xml:space="preserve"> eller personen nevnt i nr. 2 i denne artikkelen skal foreta for å betale overtredelsesgebyret, og</w:t>
      </w:r>
    </w:p>
    <w:p w14:paraId="637C7067" w14:textId="77777777" w:rsidR="005D314E" w:rsidRPr="00576C3D" w:rsidRDefault="005D314E" w:rsidP="00576C3D">
      <w:pPr>
        <w:pStyle w:val="friliste2"/>
      </w:pPr>
      <w:r w:rsidRPr="00576C3D">
        <w:t>f)</w:t>
      </w:r>
      <w:r w:rsidRPr="00576C3D">
        <w:tab/>
        <w:t>retten den autoriserte CBAM-</w:t>
      </w:r>
      <w:proofErr w:type="spellStart"/>
      <w:r w:rsidRPr="00576C3D">
        <w:t>deklaranten</w:t>
      </w:r>
      <w:proofErr w:type="spellEnd"/>
      <w:r w:rsidRPr="00576C3D">
        <w:t xml:space="preserve"> eller personen nevnt i nr. 2 i denne artikkelen har til å klage.</w:t>
      </w:r>
    </w:p>
    <w:p w14:paraId="37F0FC2E" w14:textId="77777777" w:rsidR="005D314E" w:rsidRPr="00576C3D" w:rsidRDefault="005D314E" w:rsidP="00576C3D">
      <w:pPr>
        <w:pStyle w:val="friliste"/>
      </w:pPr>
      <w:r w:rsidRPr="00576C3D">
        <w:t>5.</w:t>
      </w:r>
      <w:r w:rsidRPr="00576C3D">
        <w:tab/>
        <w:t>Dersom overtredelsesgebyret ikke er betalt innen forfallstidspunktet nevnt i nr. 4 bokstav d), skal vedkommende myndighet sikre at gebyret betales, med alle midler den har tilgang til i henhold til nasjonal rett i den berørte medlemsstaten.</w:t>
      </w:r>
    </w:p>
    <w:p w14:paraId="33075112" w14:textId="77777777" w:rsidR="005D314E" w:rsidRPr="00576C3D" w:rsidRDefault="005D314E" w:rsidP="00576C3D">
      <w:pPr>
        <w:pStyle w:val="friliste"/>
      </w:pPr>
      <w:r w:rsidRPr="00576C3D">
        <w:t>6.</w:t>
      </w:r>
      <w:r w:rsidRPr="00576C3D">
        <w:tab/>
        <w:t>Medlemsstatene skal underrette Kommisjonen om beslutningene om overtredelsesgebyrene nevnt i nr. 1 og 2 og registrere den endelige betalingen nevnt i nr. 5 i CBAM-registeret.</w:t>
      </w:r>
    </w:p>
    <w:p w14:paraId="3ABDE9A5" w14:textId="77777777" w:rsidR="005D314E" w:rsidRPr="00576C3D" w:rsidRDefault="005D314E" w:rsidP="00576C3D">
      <w:pPr>
        <w:pStyle w:val="avsnitt-undertittel"/>
      </w:pPr>
      <w:r w:rsidRPr="00576C3D">
        <w:t>Artikkel 27</w:t>
      </w:r>
    </w:p>
    <w:p w14:paraId="22B92B12" w14:textId="77777777" w:rsidR="005D314E" w:rsidRPr="00576C3D" w:rsidRDefault="005D314E" w:rsidP="00576C3D">
      <w:pPr>
        <w:pStyle w:val="Undertittel"/>
      </w:pPr>
      <w:r w:rsidRPr="00576C3D">
        <w:t>Omgåelse</w:t>
      </w:r>
    </w:p>
    <w:p w14:paraId="34B619FF" w14:textId="77777777" w:rsidR="005D314E" w:rsidRPr="00576C3D" w:rsidRDefault="005D314E" w:rsidP="00576C3D">
      <w:pPr>
        <w:pStyle w:val="friliste"/>
      </w:pPr>
      <w:r w:rsidRPr="00576C3D">
        <w:t>1.</w:t>
      </w:r>
      <w:r w:rsidRPr="00576C3D">
        <w:tab/>
        <w:t>Kommisjonen skal treffe tiltak i samsvar med denne artikkelen, basert på relevante og objektive data, for å håndtere omgåelse av denne forordningen.</w:t>
      </w:r>
    </w:p>
    <w:p w14:paraId="491017EA" w14:textId="77777777" w:rsidR="005D314E" w:rsidRPr="00576C3D" w:rsidRDefault="005D314E" w:rsidP="00576C3D">
      <w:pPr>
        <w:pStyle w:val="friliste"/>
      </w:pPr>
      <w:r w:rsidRPr="00576C3D">
        <w:t>2.</w:t>
      </w:r>
      <w:r w:rsidRPr="00576C3D">
        <w:tab/>
        <w:t>Omgåelse skal defineres som en endring i handelsmønsteret for varer som stammer fra en praksis, en prosess eller et arbeid som det ikke er tilstrekkelig grunn til eller økonomisk begrunnelse for, annet enn å omgå, helt eller delvis, noen av forpliktelsene i denne forordningen. En slik praksis, en slik prosess eller et slikt arbeid kan bestå av, men er ikke begrenset til</w:t>
      </w:r>
    </w:p>
    <w:p w14:paraId="09724267" w14:textId="77777777" w:rsidR="005D314E" w:rsidRPr="00576C3D" w:rsidRDefault="005D314E" w:rsidP="00576C3D">
      <w:pPr>
        <w:pStyle w:val="friliste2"/>
      </w:pPr>
      <w:r w:rsidRPr="00576C3D">
        <w:t>a)</w:t>
      </w:r>
      <w:r w:rsidRPr="00576C3D">
        <w:tab/>
        <w:t>en liten endring av de berørte varene for å bringe dem inn under KN-koder som ikke er oppført i vedlegg I, med mindre endringen endrer deres vesentlige egenskaper,</w:t>
      </w:r>
    </w:p>
    <w:p w14:paraId="7F6A2D73" w14:textId="77777777" w:rsidR="005D314E" w:rsidRPr="00576C3D" w:rsidRDefault="005D314E" w:rsidP="00576C3D">
      <w:pPr>
        <w:pStyle w:val="friliste2"/>
      </w:pPr>
      <w:r w:rsidRPr="00576C3D">
        <w:t>b)</w:t>
      </w:r>
      <w:r w:rsidRPr="00576C3D">
        <w:tab/>
        <w:t>kunstig oppdeling av forsendelser i sendinger med en egenverdi som ikke overstiger terskelverdien nevnt i artikkel 2 nr. 3.</w:t>
      </w:r>
    </w:p>
    <w:p w14:paraId="275E9249" w14:textId="77777777" w:rsidR="005D314E" w:rsidRPr="00576C3D" w:rsidRDefault="005D314E" w:rsidP="00576C3D">
      <w:pPr>
        <w:pStyle w:val="friliste"/>
      </w:pPr>
      <w:r w:rsidRPr="00576C3D">
        <w:t>3.</w:t>
      </w:r>
      <w:r w:rsidRPr="00576C3D">
        <w:tab/>
        <w:t>Kommisjonen skal løpende overvåke situasjonen på unionsplan med henblikk på å avdekke omgåelse, herunder gjennom markedstilsyn eller på grunnlag av enhver relevant informasjonskilde, som for eksempel framlegg fra og rapportering fra sivilsamfunnsorganisasjoner.</w:t>
      </w:r>
    </w:p>
    <w:p w14:paraId="721EB795" w14:textId="77777777" w:rsidR="005D314E" w:rsidRPr="00576C3D" w:rsidRDefault="005D314E" w:rsidP="00576C3D">
      <w:pPr>
        <w:pStyle w:val="friliste"/>
      </w:pPr>
      <w:r w:rsidRPr="00576C3D">
        <w:t>4.</w:t>
      </w:r>
      <w:r w:rsidRPr="00576C3D">
        <w:tab/>
        <w:t>En medlemsstat eller enhver part som er berørt av eller har dratt nytte av en av situasjonene nevnt i nr. 2, kan melde fra til Kommisjonen dersom den støter på omgåelse. Andre berørte parter enn direkte berørte eller begunstigede parter, f.eks. miljøorganisasjoner og ikke-statlige organisasjoner, som finner konkrete bevis på omgåelse, kan også melde fra til Kommisjonen.</w:t>
      </w:r>
    </w:p>
    <w:p w14:paraId="1F75D0C2" w14:textId="77777777" w:rsidR="005D314E" w:rsidRPr="00576C3D" w:rsidRDefault="005D314E" w:rsidP="00576C3D">
      <w:pPr>
        <w:pStyle w:val="friliste"/>
      </w:pPr>
      <w:r w:rsidRPr="00576C3D">
        <w:t>5.</w:t>
      </w:r>
      <w:r w:rsidRPr="00576C3D">
        <w:tab/>
        <w:t xml:space="preserve">Meldingen nevnt i nr. 4 skal begrunnes og inneholde relevante data og statistikk til støtte for påstanden om omgåelse av denne forordningen. Kommisjonen skal innlede en undersøkelse av en påstand om omgåelse enten dersom den er blitt underrettet av en medlemsstat eller av en berørt eller </w:t>
      </w:r>
      <w:proofErr w:type="gramStart"/>
      <w:r w:rsidRPr="00576C3D">
        <w:t>begunstiget</w:t>
      </w:r>
      <w:proofErr w:type="gramEnd"/>
      <w:r w:rsidRPr="00576C3D">
        <w:t xml:space="preserve"> part eller en annen interessent, forutsatt at underretningen oppfyller kravene nevnt i dette nummeret, eller dersom Kommisjonen selv fastslår at en slik undersøkelse er nødvendig. Ved gjennomføringen av undersøkelsen kan Kommisjonen bistås av vedkommende myndigheter og tollmyndighetene. Kommisjonen skal avslutte undersøkelsen innen ni måneder fra dagen underretningen ble mottatt. Når en undersøkelse er iverksatt, skal Kommisjonen underrette alle vedkommende myndigheter.</w:t>
      </w:r>
    </w:p>
    <w:p w14:paraId="05D65F3F" w14:textId="77777777" w:rsidR="005D314E" w:rsidRPr="00576C3D" w:rsidRDefault="005D314E" w:rsidP="00576C3D">
      <w:pPr>
        <w:pStyle w:val="friliste"/>
      </w:pPr>
      <w:r w:rsidRPr="00576C3D">
        <w:t>6.</w:t>
      </w:r>
      <w:r w:rsidRPr="00576C3D">
        <w:tab/>
        <w:t>Dersom Kommisjonen, idet den tar hensyn til relevante data, rapporter og statistikker, herunder fra tollmyndighetene, har tilstrekkelige grunner til å tro at omstendighetene nevnt i nr. 2 bokstav a) i denne artikkelen forekommer i én eller flere medlemsstater i henhold til et etablert mønster, gis den myndighet til å vedta delegerte rettsakter i samsvar med artikkel 28 for å endre listen over varer i vedlegg I ved å legge til de relevante litt endrede produktene nevnt i nr. 2 bokstav a) i denne artikkelen, for å hindre omgåelse.</w:t>
      </w:r>
    </w:p>
    <w:p w14:paraId="0C10B348" w14:textId="77777777" w:rsidR="005D314E" w:rsidRPr="00576C3D" w:rsidRDefault="005D314E" w:rsidP="00576C3D">
      <w:pPr>
        <w:pStyle w:val="avsnitt-undertittel"/>
      </w:pPr>
      <w:r w:rsidRPr="00576C3D">
        <w:t>Kapittel VII</w:t>
      </w:r>
    </w:p>
    <w:p w14:paraId="77BA77E4" w14:textId="77777777" w:rsidR="005D314E" w:rsidRPr="00576C3D" w:rsidRDefault="005D314E" w:rsidP="00576C3D">
      <w:pPr>
        <w:pStyle w:val="Undertittel"/>
      </w:pPr>
      <w:r w:rsidRPr="00576C3D">
        <w:t>Utøvelse av delegering og komitéprosedyre</w:t>
      </w:r>
    </w:p>
    <w:p w14:paraId="47966282" w14:textId="77777777" w:rsidR="005D314E" w:rsidRPr="00576C3D" w:rsidRDefault="005D314E" w:rsidP="00576C3D">
      <w:pPr>
        <w:pStyle w:val="avsnitt-undertittel"/>
      </w:pPr>
      <w:r w:rsidRPr="00576C3D">
        <w:t>Artikkel 28</w:t>
      </w:r>
    </w:p>
    <w:p w14:paraId="6F4DF8A7" w14:textId="77777777" w:rsidR="005D314E" w:rsidRPr="00576C3D" w:rsidRDefault="005D314E" w:rsidP="00576C3D">
      <w:pPr>
        <w:pStyle w:val="Undertittel"/>
      </w:pPr>
      <w:r w:rsidRPr="00576C3D">
        <w:t>Utøvelse av delegering</w:t>
      </w:r>
    </w:p>
    <w:p w14:paraId="1D49204C" w14:textId="77777777" w:rsidR="005D314E" w:rsidRPr="00576C3D" w:rsidRDefault="005D314E" w:rsidP="00576C3D">
      <w:pPr>
        <w:pStyle w:val="friliste"/>
      </w:pPr>
      <w:r w:rsidRPr="00576C3D">
        <w:t>1.</w:t>
      </w:r>
      <w:r w:rsidRPr="00576C3D">
        <w:tab/>
        <w:t>Myndigheten til å vedta delegerte rettsakter gis Kommisjonen på vilkårene fastsatt i denne artikkelen.</w:t>
      </w:r>
    </w:p>
    <w:p w14:paraId="1968C061" w14:textId="77777777" w:rsidR="005D314E" w:rsidRPr="00576C3D" w:rsidRDefault="005D314E" w:rsidP="00576C3D">
      <w:pPr>
        <w:pStyle w:val="friliste"/>
      </w:pPr>
      <w:r w:rsidRPr="00576C3D">
        <w:t>2.</w:t>
      </w:r>
      <w:r w:rsidRPr="00576C3D">
        <w:tab/>
        <w:t>Myndigheten til å vedta delegerte rettsakter som nevnt i artikkel 2 nr. 10, artikkel 2 nr. 11, artikkel 18 nr. 3, artikkel 20 nr. 6 og artikkel 27 nr. 6 gis Kommisjonen for en periode på fem år fra 17. mai 2023. Kommisjonen skal utarbeide en rapport om den delegerte myndigheten senest ni måneder før utgangen av femårsperioden. Den delegerte myndigheten skal stilltiende forlenges med ytterligere perioder av samme varighet, med mindre Europaparlamentet eller Rådet motsetter seg en slik forlengelse senest tre måneder før utløpet av hver periode.</w:t>
      </w:r>
    </w:p>
    <w:p w14:paraId="62A908A0" w14:textId="77777777" w:rsidR="005D314E" w:rsidRPr="00576C3D" w:rsidRDefault="005D314E" w:rsidP="00576C3D">
      <w:pPr>
        <w:pStyle w:val="friliste"/>
      </w:pPr>
      <w:r w:rsidRPr="00576C3D">
        <w:t>3.</w:t>
      </w:r>
      <w:r w:rsidRPr="00576C3D">
        <w:tab/>
        <w:t>Den delegerte myndigheten nevnt i artikkel 2 nr. 10, artikkel 2 nr. 11, artikkel 18 nr. 3, artikkel 20 nr. 6 og artikkel 27 nr. 6 kan når som helst tilbakekalles av Europaparlamentet eller Rådet.</w:t>
      </w:r>
    </w:p>
    <w:p w14:paraId="09BCD598" w14:textId="77777777" w:rsidR="005D314E" w:rsidRPr="00576C3D" w:rsidRDefault="005D314E" w:rsidP="00576C3D">
      <w:pPr>
        <w:pStyle w:val="friliste"/>
      </w:pPr>
      <w:r w:rsidRPr="00576C3D">
        <w:t>4.</w:t>
      </w:r>
      <w:r w:rsidRPr="00576C3D">
        <w:tab/>
        <w:t xml:space="preserve">En beslutning om tilbakekalling innebærer at den delegerte myndigheten som angis i beslutningen, opphører å gjelde. Den får </w:t>
      </w:r>
      <w:proofErr w:type="gramStart"/>
      <w:r w:rsidRPr="00576C3D">
        <w:t>anvendelse</w:t>
      </w:r>
      <w:proofErr w:type="gramEnd"/>
      <w:r w:rsidRPr="00576C3D">
        <w:t xml:space="preserve"> dagen etter at den er kunngjort i </w:t>
      </w:r>
      <w:r w:rsidRPr="00576C3D">
        <w:rPr>
          <w:rStyle w:val="kursiv"/>
        </w:rPr>
        <w:t>Den europeiske unions tidende</w:t>
      </w:r>
      <w:r w:rsidRPr="00576C3D">
        <w:t xml:space="preserve">, eller på et senere tidspunkt angitt i beslutningen. Den berører ikke gyldigheten av delegerte rettsakter som allerede er </w:t>
      </w:r>
      <w:proofErr w:type="gramStart"/>
      <w:r w:rsidRPr="00576C3D">
        <w:t>trådt</w:t>
      </w:r>
      <w:proofErr w:type="gramEnd"/>
      <w:r w:rsidRPr="00576C3D">
        <w:t xml:space="preserve"> i kraft.</w:t>
      </w:r>
    </w:p>
    <w:p w14:paraId="2C5AD82D" w14:textId="77777777" w:rsidR="005D314E" w:rsidRPr="00576C3D" w:rsidRDefault="005D314E" w:rsidP="00576C3D">
      <w:pPr>
        <w:pStyle w:val="friliste"/>
      </w:pPr>
      <w:r w:rsidRPr="00576C3D">
        <w:t>5.</w:t>
      </w:r>
      <w:r w:rsidRPr="00576C3D">
        <w:tab/>
        <w:t>Før Kommisjonen vedtar en delegert rettsakt, skal den rådspørre sakkyndige utpekt av hver medlemsstat i samsvar med prinsippene fastsatt i den tverrinstitusjonelle avtalen av 13. april 2016 om bedre regelverksutforming.</w:t>
      </w:r>
    </w:p>
    <w:p w14:paraId="3423F36A" w14:textId="77777777" w:rsidR="005D314E" w:rsidRPr="00576C3D" w:rsidRDefault="005D314E" w:rsidP="00576C3D">
      <w:pPr>
        <w:pStyle w:val="friliste"/>
      </w:pPr>
      <w:r w:rsidRPr="00576C3D">
        <w:t>6.</w:t>
      </w:r>
      <w:r w:rsidRPr="00576C3D">
        <w:tab/>
        <w:t>Så snart Kommisjonen vedtar en delegert rettsakt, skal den underrette Europaparlamentet og Rådet samtidig om dette.</w:t>
      </w:r>
    </w:p>
    <w:p w14:paraId="623E04C5" w14:textId="77777777" w:rsidR="005D314E" w:rsidRPr="00576C3D" w:rsidRDefault="005D314E" w:rsidP="00576C3D">
      <w:pPr>
        <w:pStyle w:val="friliste"/>
      </w:pPr>
      <w:r w:rsidRPr="00576C3D">
        <w:t>7.</w:t>
      </w:r>
      <w:r w:rsidRPr="00576C3D">
        <w:tab/>
        <w:t>En delegert rettsakt vedtatt i henhold til artikkel 2 nr. 10, artikkel 2 nr. 11, artikkel 18 nr. 3, artikkel 20 nr. 6 eller artikkel 27 nr. 6 skal tre i kraft bare dersom verken Europaparlamentet eller Rådet har gjort innsigelse innen en frist på to måneder etter at rettsakten ble meddelt Europaparlamentet og Rådet, eller dersom både Europaparlamentet og Rådet før denne fristen utløper, har underrettet Kommisjonen om at de ikke har innvendinger. Denne fristen skal forlenges med to måneder på Europaparlamentets eller Rådets initiativ.</w:t>
      </w:r>
    </w:p>
    <w:p w14:paraId="0049DC8D" w14:textId="77777777" w:rsidR="005D314E" w:rsidRPr="00576C3D" w:rsidRDefault="005D314E" w:rsidP="00576C3D">
      <w:pPr>
        <w:pStyle w:val="avsnitt-undertittel"/>
      </w:pPr>
      <w:r w:rsidRPr="00576C3D">
        <w:t>Artikkel 29</w:t>
      </w:r>
    </w:p>
    <w:p w14:paraId="2C9EBEAD" w14:textId="77777777" w:rsidR="005D314E" w:rsidRPr="00576C3D" w:rsidRDefault="005D314E" w:rsidP="00576C3D">
      <w:pPr>
        <w:pStyle w:val="Undertittel"/>
      </w:pPr>
      <w:r w:rsidRPr="00576C3D">
        <w:t>Komitéprosedyre</w:t>
      </w:r>
    </w:p>
    <w:p w14:paraId="6105C831" w14:textId="77777777" w:rsidR="005D314E" w:rsidRPr="00576C3D" w:rsidRDefault="005D314E" w:rsidP="00576C3D">
      <w:pPr>
        <w:pStyle w:val="friliste"/>
      </w:pPr>
      <w:r w:rsidRPr="00576C3D">
        <w:t>1.</w:t>
      </w:r>
      <w:r w:rsidRPr="00576C3D">
        <w:tab/>
        <w:t>Kommisjonen skal bistås av CBAM-komiteen. Nevnte komité skal være en komité i samsvar med forordning (EU) nr. 182/2011.</w:t>
      </w:r>
    </w:p>
    <w:p w14:paraId="35DDE3C2" w14:textId="77777777" w:rsidR="005D314E" w:rsidRPr="00576C3D" w:rsidRDefault="005D314E" w:rsidP="00576C3D">
      <w:pPr>
        <w:pStyle w:val="friliste"/>
      </w:pPr>
      <w:r w:rsidRPr="00576C3D">
        <w:t>2.</w:t>
      </w:r>
      <w:r w:rsidRPr="00576C3D">
        <w:tab/>
        <w:t xml:space="preserve">Når det vises til dette nummeret, får artikkel 5 i forordning (EU) nr. 182/2011 </w:t>
      </w:r>
      <w:proofErr w:type="gramStart"/>
      <w:r w:rsidRPr="00576C3D">
        <w:t>anvendelse</w:t>
      </w:r>
      <w:proofErr w:type="gramEnd"/>
      <w:r w:rsidRPr="00576C3D">
        <w:t>.</w:t>
      </w:r>
    </w:p>
    <w:p w14:paraId="1C7748CB" w14:textId="77777777" w:rsidR="005D314E" w:rsidRPr="00576C3D" w:rsidRDefault="005D314E" w:rsidP="00576C3D">
      <w:pPr>
        <w:pStyle w:val="avsnitt-undertittel"/>
      </w:pPr>
      <w:r w:rsidRPr="00576C3D">
        <w:t>Kapittel VIII</w:t>
      </w:r>
    </w:p>
    <w:p w14:paraId="273059E1" w14:textId="77777777" w:rsidR="005D314E" w:rsidRPr="00576C3D" w:rsidRDefault="005D314E" w:rsidP="00576C3D">
      <w:pPr>
        <w:pStyle w:val="Undertittel"/>
      </w:pPr>
      <w:r w:rsidRPr="00576C3D">
        <w:t>Rapportering og gjennomgang</w:t>
      </w:r>
    </w:p>
    <w:p w14:paraId="04F4E72E" w14:textId="77777777" w:rsidR="005D314E" w:rsidRPr="00576C3D" w:rsidRDefault="005D314E" w:rsidP="00576C3D">
      <w:pPr>
        <w:pStyle w:val="avsnitt-undertittel"/>
      </w:pPr>
      <w:r w:rsidRPr="00576C3D">
        <w:t>Artikkel 30</w:t>
      </w:r>
    </w:p>
    <w:p w14:paraId="42558C67" w14:textId="77777777" w:rsidR="005D314E" w:rsidRPr="00576C3D" w:rsidRDefault="005D314E" w:rsidP="00576C3D">
      <w:pPr>
        <w:pStyle w:val="Undertittel"/>
      </w:pPr>
      <w:r w:rsidRPr="00576C3D">
        <w:t>Kommisjonens gjennomgang og rapportering</w:t>
      </w:r>
    </w:p>
    <w:p w14:paraId="66F82A33" w14:textId="77777777" w:rsidR="005D314E" w:rsidRPr="00576C3D" w:rsidRDefault="005D314E" w:rsidP="00576C3D">
      <w:pPr>
        <w:pStyle w:val="friliste"/>
      </w:pPr>
      <w:r w:rsidRPr="00576C3D">
        <w:t>1.</w:t>
      </w:r>
      <w:r w:rsidRPr="00576C3D">
        <w:tab/>
        <w:t>Kommisjonen skal i samråd med relevante interessenter innhente de opplysningene som vil være nødvendige for å utvide denne forordningens virkeområde som angitt i og i henhold til nr. 2 bokstav a), og for å utvikle metoder for beregning av innbakte utslipp basert på metoder for miljøavtrykk.</w:t>
      </w:r>
    </w:p>
    <w:p w14:paraId="5977DE1D" w14:textId="77777777" w:rsidR="005D314E" w:rsidRPr="00576C3D" w:rsidRDefault="005D314E" w:rsidP="00576C3D">
      <w:pPr>
        <w:pStyle w:val="friliste"/>
      </w:pPr>
      <w:r w:rsidRPr="00576C3D">
        <w:t>2.</w:t>
      </w:r>
      <w:r w:rsidRPr="00576C3D">
        <w:tab/>
        <w:t xml:space="preserve">Før avslutningen av overgangsperioden omhandlet i artikkel 32 skal Kommisjonen framlegge for Europaparlamentet og Rådet en rapport om </w:t>
      </w:r>
      <w:proofErr w:type="gramStart"/>
      <w:r w:rsidRPr="00576C3D">
        <w:t>anvendelsen</w:t>
      </w:r>
      <w:proofErr w:type="gramEnd"/>
      <w:r w:rsidRPr="00576C3D">
        <w:t xml:space="preserve"> av denne forordningen.</w:t>
      </w:r>
    </w:p>
    <w:p w14:paraId="6690D47A" w14:textId="77777777" w:rsidR="005D314E" w:rsidRPr="00576C3D" w:rsidRDefault="005D314E" w:rsidP="00576C3D">
      <w:pPr>
        <w:pStyle w:val="Listeavsnitt"/>
      </w:pPr>
      <w:r w:rsidRPr="00576C3D">
        <w:t>Rapporten skal inneholde en vurdering av</w:t>
      </w:r>
    </w:p>
    <w:p w14:paraId="5D343345" w14:textId="77777777" w:rsidR="005D314E" w:rsidRPr="00576C3D" w:rsidRDefault="005D314E" w:rsidP="00576C3D">
      <w:pPr>
        <w:pStyle w:val="friliste2"/>
      </w:pPr>
      <w:r w:rsidRPr="00576C3D">
        <w:t>a)</w:t>
      </w:r>
      <w:r w:rsidRPr="00576C3D">
        <w:tab/>
        <w:t>muligheten til å utvide virkeområdet til å gjelde</w:t>
      </w:r>
    </w:p>
    <w:p w14:paraId="369FCDEF" w14:textId="77777777" w:rsidR="005D314E" w:rsidRPr="00576C3D" w:rsidRDefault="005D314E" w:rsidP="00576C3D">
      <w:pPr>
        <w:pStyle w:val="friliste3"/>
      </w:pPr>
      <w:r w:rsidRPr="00576C3D">
        <w:t>i)</w:t>
      </w:r>
      <w:r w:rsidRPr="00576C3D">
        <w:tab/>
        <w:t>innbakte indirekte utslipp i varene oppført i vedlegg II,</w:t>
      </w:r>
    </w:p>
    <w:p w14:paraId="2BAC2AEF" w14:textId="77777777" w:rsidR="005D314E" w:rsidRPr="00576C3D" w:rsidRDefault="005D314E" w:rsidP="00576C3D">
      <w:pPr>
        <w:pStyle w:val="friliste3"/>
      </w:pPr>
      <w:r w:rsidRPr="00576C3D">
        <w:t>ii)</w:t>
      </w:r>
      <w:r w:rsidRPr="00576C3D">
        <w:tab/>
        <w:t>innbakte utslipp ved transport av varene oppført i vedlegg I og transporttjenester,</w:t>
      </w:r>
    </w:p>
    <w:p w14:paraId="06F7D5E4" w14:textId="77777777" w:rsidR="005D314E" w:rsidRPr="00576C3D" w:rsidRDefault="005D314E" w:rsidP="00576C3D">
      <w:pPr>
        <w:pStyle w:val="friliste3"/>
      </w:pPr>
      <w:r w:rsidRPr="00576C3D">
        <w:t>iii)</w:t>
      </w:r>
      <w:r w:rsidRPr="00576C3D">
        <w:tab/>
        <w:t xml:space="preserve">andre varer med risiko for karbonlekkasje enn dem som er oppført i vedlegg I, særlig organiske kjemikalier og </w:t>
      </w:r>
      <w:proofErr w:type="spellStart"/>
      <w:r w:rsidRPr="00576C3D">
        <w:t>polymerer</w:t>
      </w:r>
      <w:proofErr w:type="spellEnd"/>
      <w:r w:rsidRPr="00576C3D">
        <w:t>,</w:t>
      </w:r>
    </w:p>
    <w:p w14:paraId="6CD52EBE" w14:textId="77777777" w:rsidR="005D314E" w:rsidRPr="00576C3D" w:rsidRDefault="005D314E" w:rsidP="00576C3D">
      <w:pPr>
        <w:pStyle w:val="friliste3"/>
      </w:pPr>
      <w:r w:rsidRPr="00576C3D">
        <w:t>iv)</w:t>
      </w:r>
      <w:r w:rsidRPr="00576C3D">
        <w:tab/>
        <w:t>andre innsatsmaterialer (forløpere) for varene oppført i vedlegg I,</w:t>
      </w:r>
    </w:p>
    <w:p w14:paraId="496F2197" w14:textId="77777777" w:rsidR="005D314E" w:rsidRPr="00576C3D" w:rsidRDefault="005D314E" w:rsidP="00576C3D">
      <w:pPr>
        <w:pStyle w:val="friliste2"/>
      </w:pPr>
      <w:r w:rsidRPr="00576C3D">
        <w:t>b)</w:t>
      </w:r>
      <w:r w:rsidRPr="00576C3D">
        <w:tab/>
        <w:t>kriteriene som skal brukes for å identifisere varer som skal oppføres på listen i vedlegg I til denne forordningen, basert på de sektorene som er utsatt for risiko for karbonlekkasje, identifisert i henhold til artikkel 10b i direktiv 2003/87/EF; denne vurderingen skal ledsages av en tidsplan som utløper i 2030 for gradvis innlemmelse av de aktuelle varene i virkeområdet for denne forordningen, idet det særlig skal tas hensyn til risikonivået for deres respektive karbonlekkasje,</w:t>
      </w:r>
    </w:p>
    <w:p w14:paraId="47686D5B" w14:textId="77777777" w:rsidR="005D314E" w:rsidRPr="00576C3D" w:rsidRDefault="005D314E" w:rsidP="00576C3D">
      <w:pPr>
        <w:pStyle w:val="friliste2"/>
      </w:pPr>
      <w:r w:rsidRPr="00576C3D">
        <w:t>c)</w:t>
      </w:r>
      <w:r w:rsidRPr="00576C3D">
        <w:tab/>
        <w:t>de tekniske kravene til beregning av innbakte utslipp for andre varer som skal oppføres på listen i vedlegg I,</w:t>
      </w:r>
    </w:p>
    <w:p w14:paraId="0C380B30" w14:textId="77777777" w:rsidR="005D314E" w:rsidRPr="00576C3D" w:rsidRDefault="005D314E" w:rsidP="00576C3D">
      <w:pPr>
        <w:pStyle w:val="friliste2"/>
      </w:pPr>
      <w:r w:rsidRPr="00576C3D">
        <w:t>d)</w:t>
      </w:r>
      <w:r w:rsidRPr="00576C3D">
        <w:tab/>
        <w:t>framdriften i internasjonale drøftinger om klimatiltak,</w:t>
      </w:r>
    </w:p>
    <w:p w14:paraId="5D11DCB8" w14:textId="77777777" w:rsidR="005D314E" w:rsidRPr="00576C3D" w:rsidRDefault="005D314E" w:rsidP="00576C3D">
      <w:pPr>
        <w:pStyle w:val="friliste2"/>
      </w:pPr>
      <w:r w:rsidRPr="00576C3D">
        <w:t>e)</w:t>
      </w:r>
      <w:r w:rsidRPr="00576C3D">
        <w:tab/>
        <w:t>styringssystemet, herunder de administrative kostnadene,</w:t>
      </w:r>
    </w:p>
    <w:p w14:paraId="114D6619" w14:textId="77777777" w:rsidR="005D314E" w:rsidRPr="00576C3D" w:rsidRDefault="005D314E" w:rsidP="00576C3D">
      <w:pPr>
        <w:pStyle w:val="friliste2"/>
      </w:pPr>
      <w:r w:rsidRPr="00576C3D">
        <w:t>f)</w:t>
      </w:r>
      <w:r w:rsidRPr="00576C3D">
        <w:tab/>
        <w:t>denne forordningens innvirkning på varer oppført i vedlegg I som importeres fra utviklingsland, med særlig vekt på de minst utviklede landene (MUL) som identifisert av De forente nasjoner, og på virkningene av den tekniske bistanden som gis,</w:t>
      </w:r>
    </w:p>
    <w:p w14:paraId="61528C18" w14:textId="77777777" w:rsidR="005D314E" w:rsidRPr="00576C3D" w:rsidRDefault="005D314E" w:rsidP="00576C3D">
      <w:pPr>
        <w:pStyle w:val="friliste2"/>
      </w:pPr>
      <w:r w:rsidRPr="00576C3D">
        <w:t>g)</w:t>
      </w:r>
      <w:r w:rsidRPr="00576C3D">
        <w:tab/>
        <w:t>metoden for beregning av indirekte utslipp i henhold til artikkel 7 nr. 7 og vedlegg IV nr. 4.3.</w:t>
      </w:r>
    </w:p>
    <w:p w14:paraId="36D56BB5" w14:textId="77777777" w:rsidR="005D314E" w:rsidRPr="00576C3D" w:rsidRDefault="005D314E" w:rsidP="00576C3D">
      <w:pPr>
        <w:pStyle w:val="friliste"/>
      </w:pPr>
      <w:r w:rsidRPr="00576C3D">
        <w:t>3.</w:t>
      </w:r>
      <w:r w:rsidRPr="00576C3D">
        <w:tab/>
        <w:t>Minst ett år før utløpet av overgangsperioden skal Kommisjonen framlegge for Europaparlamentet og Rådet en rapport som identifiserer produkter lenger ned i verdikjeden for varene oppført i vedlegg I som den anbefaler skal vurderes med henblikk på å bli omfattet av denne forordningen. For dette formålet skal Kommisjonen i god tid utvikle en metode som bør være basert på relevans når det gjelder kumulerte klimagassutslipp og risiko for karbonlekkasje.</w:t>
      </w:r>
    </w:p>
    <w:p w14:paraId="3491C350" w14:textId="77777777" w:rsidR="005D314E" w:rsidRPr="00576C3D" w:rsidRDefault="005D314E" w:rsidP="00576C3D">
      <w:pPr>
        <w:pStyle w:val="friliste"/>
      </w:pPr>
      <w:r w:rsidRPr="00576C3D">
        <w:t>4.</w:t>
      </w:r>
      <w:r w:rsidRPr="00576C3D">
        <w:tab/>
        <w:t>Rapportene nevnt i nr. 2 og 3 skal eventuelt ledsages av et forslag til regelverk ved utløpet av overgangsperioden, herunder en detaljert konsekvensanalyse, særlig med henblikk på å utvide virkeområdet for denne forordningen på grunnlag av konklusjonene i rapportene.</w:t>
      </w:r>
    </w:p>
    <w:p w14:paraId="56FEB59E" w14:textId="77777777" w:rsidR="005D314E" w:rsidRPr="00576C3D" w:rsidRDefault="005D314E" w:rsidP="00576C3D">
      <w:pPr>
        <w:pStyle w:val="friliste"/>
      </w:pPr>
      <w:r w:rsidRPr="00576C3D">
        <w:t>5.</w:t>
      </w:r>
      <w:r w:rsidRPr="00576C3D">
        <w:tab/>
        <w:t>Annethvert år fra avslutningen av overgangsperioden skal Kommisjonen, som en del av sin årlige rapport til Europaparlamentet og Rådet i henhold til artikkel 10 nr. 5 i direktiv 2003/87/EF, vurdere hvor effektivt CBAM er for å håndtere risikoen for karbonlekkasje for varer som produseres i Unionen med henblikk på eksport til tredjeland som ikke anvender EU ETS eller en lignende karbonprisingsmekanisme. Rapporten skal særlig inneholde en vurdering av utviklingen i Unionens eksport i CBAM-sektorer og utviklingen med hensyn til handelsstrømmer og innbakte utslipp fra disse varene på det globale markedet. Dersom det i rapporten konkluderes med at det er en risiko for karbonlekkasje for varer som produseres i Unionen med henblikk på eksport til slike tredjeland som ikke anvender EU ETS eller en lignende karbonprisingsmekanisme, skal Kommisjonen, dersom det er relevant, framlegge et forslag til regelverk for å håndtere denne risikoen for karbonlekkasje på en måte som er i samsvar med Verdens handelsorganisasjons regler, og som tar hensyn til avkarbonisering av anlegg i Unionen.</w:t>
      </w:r>
    </w:p>
    <w:p w14:paraId="048A5B46" w14:textId="77777777" w:rsidR="005D314E" w:rsidRPr="00576C3D" w:rsidRDefault="005D314E" w:rsidP="00576C3D">
      <w:pPr>
        <w:pStyle w:val="friliste"/>
      </w:pPr>
      <w:r w:rsidRPr="00576C3D">
        <w:t>6.</w:t>
      </w:r>
      <w:r w:rsidRPr="00576C3D">
        <w:tab/>
        <w:t xml:space="preserve">Kommisjonen skal overvåke hvordan CBAM fungerer, med sikte på å evaluere virkningene og eventuelle justeringer av dens </w:t>
      </w:r>
      <w:proofErr w:type="gramStart"/>
      <w:r w:rsidRPr="00576C3D">
        <w:t>anvendelse</w:t>
      </w:r>
      <w:proofErr w:type="gramEnd"/>
      <w:r w:rsidRPr="00576C3D">
        <w:t>.</w:t>
      </w:r>
    </w:p>
    <w:p w14:paraId="4ADC3CFC" w14:textId="77777777" w:rsidR="005D314E" w:rsidRPr="00576C3D" w:rsidRDefault="005D314E" w:rsidP="00576C3D">
      <w:pPr>
        <w:pStyle w:val="Listeavsnitt"/>
      </w:pPr>
      <w:r w:rsidRPr="00576C3D">
        <w:t>Kommisjonen skal innen 1. januar 2028 og annethvert år deretter legge fram for Europaparlamentet og Rådet en rapport om gjennomføringen av denne forordningen og om hvordan CBAM fungerer. Rapporten skal minst inneholde</w:t>
      </w:r>
    </w:p>
    <w:p w14:paraId="7E1C5DFE" w14:textId="77777777" w:rsidR="005D314E" w:rsidRPr="00576C3D" w:rsidRDefault="005D314E" w:rsidP="00576C3D">
      <w:pPr>
        <w:pStyle w:val="friliste2"/>
      </w:pPr>
      <w:r w:rsidRPr="00576C3D">
        <w:t>a)</w:t>
      </w:r>
      <w:r w:rsidRPr="00576C3D">
        <w:tab/>
        <w:t>en vurdering av virkningen av CBAM på</w:t>
      </w:r>
    </w:p>
    <w:p w14:paraId="214EE04C" w14:textId="77777777" w:rsidR="005D314E" w:rsidRPr="00576C3D" w:rsidRDefault="005D314E" w:rsidP="00576C3D">
      <w:pPr>
        <w:pStyle w:val="friliste3"/>
      </w:pPr>
      <w:r w:rsidRPr="00576C3D">
        <w:t>i)</w:t>
      </w:r>
      <w:r w:rsidRPr="00576C3D">
        <w:tab/>
        <w:t>karbonlekkasje, herunder i forbindelse med eksport,</w:t>
      </w:r>
    </w:p>
    <w:p w14:paraId="69FF835F" w14:textId="77777777" w:rsidR="005D314E" w:rsidRPr="00576C3D" w:rsidRDefault="005D314E" w:rsidP="00576C3D">
      <w:pPr>
        <w:pStyle w:val="friliste3"/>
      </w:pPr>
      <w:r w:rsidRPr="00576C3D">
        <w:t>ii)</w:t>
      </w:r>
      <w:r w:rsidRPr="00576C3D">
        <w:tab/>
        <w:t>hvilke sektorer som omfattes,</w:t>
      </w:r>
    </w:p>
    <w:p w14:paraId="0A5FC375" w14:textId="77777777" w:rsidR="005D314E" w:rsidRPr="00576C3D" w:rsidRDefault="005D314E" w:rsidP="00576C3D">
      <w:pPr>
        <w:pStyle w:val="friliste3"/>
      </w:pPr>
      <w:r w:rsidRPr="00576C3D">
        <w:t>iii)</w:t>
      </w:r>
      <w:r w:rsidRPr="00576C3D">
        <w:tab/>
        <w:t>det indre markedet, økonomiske og territoriale virkninger i hele Unionen,</w:t>
      </w:r>
    </w:p>
    <w:p w14:paraId="16DA2138" w14:textId="77777777" w:rsidR="005D314E" w:rsidRPr="00576C3D" w:rsidRDefault="005D314E" w:rsidP="00576C3D">
      <w:pPr>
        <w:pStyle w:val="friliste3"/>
      </w:pPr>
      <w:r w:rsidRPr="00576C3D">
        <w:t>iv)</w:t>
      </w:r>
      <w:r w:rsidRPr="00576C3D">
        <w:tab/>
        <w:t>inflasjon og prisen på varer,</w:t>
      </w:r>
    </w:p>
    <w:p w14:paraId="49392049" w14:textId="77777777" w:rsidR="005D314E" w:rsidRPr="00576C3D" w:rsidRDefault="005D314E" w:rsidP="00576C3D">
      <w:pPr>
        <w:pStyle w:val="friliste3"/>
      </w:pPr>
      <w:r w:rsidRPr="00576C3D">
        <w:t>v)</w:t>
      </w:r>
      <w:r w:rsidRPr="00576C3D">
        <w:tab/>
        <w:t>virkningen for næringer som bruker varer oppført i vedlegg I,</w:t>
      </w:r>
    </w:p>
    <w:p w14:paraId="2F985A2D" w14:textId="77777777" w:rsidR="005D314E" w:rsidRPr="00576C3D" w:rsidRDefault="005D314E" w:rsidP="00576C3D">
      <w:pPr>
        <w:pStyle w:val="friliste3"/>
      </w:pPr>
      <w:r w:rsidRPr="00576C3D">
        <w:t>vi)</w:t>
      </w:r>
      <w:r w:rsidRPr="00576C3D">
        <w:tab/>
        <w:t>internasjonal handel, herunder ressursforflytning, og</w:t>
      </w:r>
    </w:p>
    <w:p w14:paraId="02C83908" w14:textId="77777777" w:rsidR="005D314E" w:rsidRPr="00576C3D" w:rsidRDefault="005D314E" w:rsidP="00576C3D">
      <w:pPr>
        <w:pStyle w:val="friliste3"/>
      </w:pPr>
      <w:r w:rsidRPr="00576C3D">
        <w:t>vii)</w:t>
      </w:r>
      <w:r w:rsidRPr="00576C3D">
        <w:tab/>
        <w:t>de minst utviklede landene,</w:t>
      </w:r>
    </w:p>
    <w:p w14:paraId="5640A2B9" w14:textId="77777777" w:rsidR="005D314E" w:rsidRPr="00576C3D" w:rsidRDefault="005D314E" w:rsidP="00576C3D">
      <w:pPr>
        <w:pStyle w:val="friliste2"/>
      </w:pPr>
      <w:r w:rsidRPr="00576C3D">
        <w:t>b)</w:t>
      </w:r>
      <w:r w:rsidRPr="00576C3D">
        <w:tab/>
        <w:t>en vurdering av</w:t>
      </w:r>
    </w:p>
    <w:p w14:paraId="08AF839B" w14:textId="77777777" w:rsidR="005D314E" w:rsidRPr="00576C3D" w:rsidRDefault="005D314E" w:rsidP="00576C3D">
      <w:pPr>
        <w:pStyle w:val="friliste3"/>
      </w:pPr>
      <w:r w:rsidRPr="00576C3D">
        <w:t>i)</w:t>
      </w:r>
      <w:r w:rsidRPr="00576C3D">
        <w:tab/>
        <w:t>styringssystemet, herunder en vurdering av medlemsstatenes gjennomføring og forvaltning av autoriseringen av CBAM-</w:t>
      </w:r>
      <w:proofErr w:type="spellStart"/>
      <w:r w:rsidRPr="00576C3D">
        <w:t>deklaranter</w:t>
      </w:r>
      <w:proofErr w:type="spellEnd"/>
      <w:r w:rsidRPr="00576C3D">
        <w:t>,</w:t>
      </w:r>
    </w:p>
    <w:p w14:paraId="5058871B" w14:textId="77777777" w:rsidR="005D314E" w:rsidRPr="00576C3D" w:rsidRDefault="005D314E" w:rsidP="00576C3D">
      <w:pPr>
        <w:pStyle w:val="friliste3"/>
      </w:pPr>
      <w:r w:rsidRPr="00576C3D">
        <w:t>ii)</w:t>
      </w:r>
      <w:r w:rsidRPr="00576C3D">
        <w:tab/>
        <w:t>omfanget av denne forordningen,</w:t>
      </w:r>
    </w:p>
    <w:p w14:paraId="6F4400AE" w14:textId="77777777" w:rsidR="005D314E" w:rsidRPr="00576C3D" w:rsidRDefault="005D314E" w:rsidP="00576C3D">
      <w:pPr>
        <w:pStyle w:val="friliste3"/>
      </w:pPr>
      <w:r w:rsidRPr="00576C3D">
        <w:t>iii)</w:t>
      </w:r>
      <w:r w:rsidRPr="00576C3D">
        <w:tab/>
        <w:t>framgangsmåter for omgåelse,</w:t>
      </w:r>
    </w:p>
    <w:p w14:paraId="1EDB064E" w14:textId="77777777" w:rsidR="005D314E" w:rsidRPr="00576C3D" w:rsidRDefault="005D314E" w:rsidP="00576C3D">
      <w:pPr>
        <w:pStyle w:val="friliste3"/>
      </w:pPr>
      <w:r w:rsidRPr="00576C3D">
        <w:t>iv)</w:t>
      </w:r>
      <w:r w:rsidRPr="00576C3D">
        <w:tab/>
      </w:r>
      <w:proofErr w:type="gramStart"/>
      <w:r w:rsidRPr="00576C3D">
        <w:t>anvendelsen</w:t>
      </w:r>
      <w:proofErr w:type="gramEnd"/>
      <w:r w:rsidRPr="00576C3D">
        <w:t xml:space="preserve"> av gebyrer i medlemsstatene,</w:t>
      </w:r>
    </w:p>
    <w:p w14:paraId="538D91D0" w14:textId="77777777" w:rsidR="005D314E" w:rsidRPr="00576C3D" w:rsidRDefault="005D314E" w:rsidP="00576C3D">
      <w:pPr>
        <w:pStyle w:val="friliste2"/>
      </w:pPr>
      <w:r w:rsidRPr="00576C3D">
        <w:t>c)</w:t>
      </w:r>
      <w:r w:rsidRPr="00576C3D">
        <w:tab/>
        <w:t>resultater av undersøkelser og gebyrer som er pålagt,</w:t>
      </w:r>
    </w:p>
    <w:p w14:paraId="791FAA3B" w14:textId="77777777" w:rsidR="005D314E" w:rsidRPr="00576C3D" w:rsidRDefault="005D314E" w:rsidP="00576C3D">
      <w:pPr>
        <w:pStyle w:val="friliste2"/>
      </w:pPr>
      <w:r w:rsidRPr="00576C3D">
        <w:t>d)</w:t>
      </w:r>
      <w:r w:rsidRPr="00576C3D">
        <w:tab/>
        <w:t>samlet informasjon om utslippsintensiteten for hvert opprinnelsesland for de ulike varene oppført i vedlegg I.</w:t>
      </w:r>
    </w:p>
    <w:p w14:paraId="4ED29930" w14:textId="77777777" w:rsidR="005D314E" w:rsidRPr="00576C3D" w:rsidRDefault="005D314E" w:rsidP="00576C3D">
      <w:pPr>
        <w:pStyle w:val="friliste"/>
      </w:pPr>
      <w:r w:rsidRPr="00576C3D">
        <w:t>7.</w:t>
      </w:r>
      <w:r w:rsidRPr="00576C3D">
        <w:tab/>
        <w:t>Dersom det har inntruffet en uforutsett, ekstraordinær og uprovosert hendelse som er utenfor kontrollen til ett eller flere tredjeland som er underlagt CBAM, og denne hendelsen har ødeleggende konsekvenser for den økonomiske og industrielle infrastrukturen i vedkommende land, skal Kommisjonen vurdere situasjonen og legge fram for Europaparlamentet og Rådet en rapport, eventuelt ledsaget av et forslag til regelverk, for å endre denne forordningen ved å fastsette de nødvendige midlertidige tiltakene for å håndtere disse ekstraordinære omstendighetene.</w:t>
      </w:r>
    </w:p>
    <w:p w14:paraId="004B94BE" w14:textId="77777777" w:rsidR="005D314E" w:rsidRPr="00576C3D" w:rsidRDefault="005D314E" w:rsidP="00576C3D">
      <w:pPr>
        <w:pStyle w:val="friliste"/>
      </w:pPr>
      <w:r w:rsidRPr="00576C3D">
        <w:t>8.</w:t>
      </w:r>
      <w:r w:rsidRPr="00576C3D">
        <w:tab/>
        <w:t>Fra slutten av overgangsperioden nevnt i artikkel 32 i denne forordningen skal Kommisjonen, som del av den årlige rapporteringen i henhold til artikkel 41 i europaparlaments- og rådsforordning (EU) 2021/947</w:t>
      </w:r>
      <w:r w:rsidRPr="00576C3D">
        <w:rPr>
          <w:rStyle w:val="Fotnotereferanse"/>
        </w:rPr>
        <w:footnoteReference w:id="27"/>
      </w:r>
      <w:r w:rsidRPr="00576C3D">
        <w:t>, vurdere og rapportere om hvordan finansieringen i henhold til den nevnte forordningen har bidratt til avkarbonisering av framstillingsindustrien i de minst utviklede landene.</w:t>
      </w:r>
    </w:p>
    <w:p w14:paraId="6E95E961" w14:textId="77777777" w:rsidR="005D314E" w:rsidRPr="00576C3D" w:rsidRDefault="005D314E" w:rsidP="00576C3D">
      <w:pPr>
        <w:pStyle w:val="avsnitt-undertittel"/>
      </w:pPr>
      <w:r w:rsidRPr="00576C3D">
        <w:t>Kapittel IX</w:t>
      </w:r>
    </w:p>
    <w:p w14:paraId="08271C77" w14:textId="77777777" w:rsidR="005D314E" w:rsidRPr="00576C3D" w:rsidRDefault="005D314E" w:rsidP="00576C3D">
      <w:pPr>
        <w:pStyle w:val="Undertittel"/>
      </w:pPr>
      <w:r w:rsidRPr="00576C3D">
        <w:t xml:space="preserve">Samordning med vederlagsfri tildeling av kvoter innenfor rammen av </w:t>
      </w:r>
      <w:proofErr w:type="spellStart"/>
      <w:r w:rsidRPr="00576C3D">
        <w:t>eu</w:t>
      </w:r>
      <w:proofErr w:type="spellEnd"/>
      <w:r w:rsidRPr="00576C3D">
        <w:t xml:space="preserve"> ets</w:t>
      </w:r>
    </w:p>
    <w:p w14:paraId="5F7BA438" w14:textId="77777777" w:rsidR="005D314E" w:rsidRPr="00576C3D" w:rsidRDefault="005D314E" w:rsidP="00576C3D">
      <w:pPr>
        <w:pStyle w:val="avsnitt-undertittel"/>
      </w:pPr>
      <w:r w:rsidRPr="00576C3D">
        <w:t>Artikkel 31</w:t>
      </w:r>
    </w:p>
    <w:p w14:paraId="2557F1E1" w14:textId="77777777" w:rsidR="005D314E" w:rsidRPr="00576C3D" w:rsidRDefault="005D314E" w:rsidP="00576C3D">
      <w:pPr>
        <w:pStyle w:val="Undertittel"/>
      </w:pPr>
      <w:r w:rsidRPr="00576C3D">
        <w:t>Vederlagsfri tildeling av kvoter i henhold til EU ETS og plikt til å innlevere CBAM-sertifikater</w:t>
      </w:r>
    </w:p>
    <w:p w14:paraId="39E7100B" w14:textId="77777777" w:rsidR="005D314E" w:rsidRPr="00576C3D" w:rsidRDefault="005D314E" w:rsidP="00576C3D">
      <w:pPr>
        <w:pStyle w:val="friliste"/>
      </w:pPr>
      <w:r w:rsidRPr="00576C3D">
        <w:t>1.</w:t>
      </w:r>
      <w:r w:rsidRPr="00576C3D">
        <w:tab/>
        <w:t>CBAM-sertifikatene som skal innleveres i samsvar med artikkel 22 i denne forordningen, skal justeres for å gjenspeile i hvilken grad EU ETS-kvoter tildeles vederlagsfritt i samsvar med artikkel 10a i direktiv 2003/87/EF til anlegg som i Unionen produserer varene som er oppført i vedlegg I til denne forordningen.</w:t>
      </w:r>
    </w:p>
    <w:p w14:paraId="705F3E86" w14:textId="77777777" w:rsidR="005D314E" w:rsidRPr="00576C3D" w:rsidRDefault="005D314E" w:rsidP="00576C3D">
      <w:pPr>
        <w:pStyle w:val="friliste"/>
      </w:pPr>
      <w:r w:rsidRPr="00576C3D">
        <w:t>2.</w:t>
      </w:r>
      <w:r w:rsidRPr="00576C3D">
        <w:tab/>
        <w:t>Kommisjonen gis myndighet til å vedta gjennomføringsrettsakter som fastsetter nærmere regler for beregning av justeringen omhandlet i nr. 1 i denne artikkelen. Slike nærmere regler skal utarbeides med henvisning til prinsippene som anvendes i EU ETS for vederlagsfri tildeling av kvoter til anlegg som innenfor Unionen produserer varene oppført i vedlegg I, idet det tas hensyn til de ulike referanseverdiene som brukes i EU ETS for vederlagsfri tildeling, med sikte på å kombinere disse referanseverdiene til tilsvarende verdier for de berørte varene, og idet det tas hensyn til relevante innsatsmaterialer (forløpere). Disse gjennomføringsrettsaktene skal vedtas i samsvar med undersøkelsesprosedyren som det vises til i artikkel 29 nr. 2.</w:t>
      </w:r>
    </w:p>
    <w:p w14:paraId="10EE944B" w14:textId="77777777" w:rsidR="005D314E" w:rsidRPr="00576C3D" w:rsidRDefault="005D314E" w:rsidP="00576C3D">
      <w:pPr>
        <w:pStyle w:val="avsnitt-undertittel"/>
      </w:pPr>
      <w:r w:rsidRPr="00576C3D">
        <w:t xml:space="preserve">Kapittel </w:t>
      </w:r>
      <w:proofErr w:type="spellStart"/>
      <w:r w:rsidRPr="00576C3D">
        <w:t>X</w:t>
      </w:r>
      <w:proofErr w:type="spellEnd"/>
    </w:p>
    <w:p w14:paraId="2BBBAD3B" w14:textId="77777777" w:rsidR="005D314E" w:rsidRPr="00576C3D" w:rsidRDefault="005D314E" w:rsidP="00576C3D">
      <w:pPr>
        <w:pStyle w:val="Undertittel"/>
      </w:pPr>
      <w:r w:rsidRPr="00576C3D">
        <w:t>Overgangsbestemmelser</w:t>
      </w:r>
    </w:p>
    <w:p w14:paraId="59F17BCF" w14:textId="77777777" w:rsidR="005D314E" w:rsidRPr="00576C3D" w:rsidRDefault="005D314E" w:rsidP="00576C3D">
      <w:pPr>
        <w:pStyle w:val="avsnitt-undertittel"/>
      </w:pPr>
      <w:r w:rsidRPr="00576C3D">
        <w:t>Artikkel 32</w:t>
      </w:r>
    </w:p>
    <w:p w14:paraId="2027AA10" w14:textId="77777777" w:rsidR="005D314E" w:rsidRPr="00576C3D" w:rsidRDefault="005D314E" w:rsidP="00576C3D">
      <w:pPr>
        <w:pStyle w:val="Undertittel"/>
      </w:pPr>
      <w:r w:rsidRPr="00576C3D">
        <w:t>Overgangsperiodens omfang</w:t>
      </w:r>
    </w:p>
    <w:p w14:paraId="2CB3F6F0" w14:textId="77777777" w:rsidR="005D314E" w:rsidRPr="00576C3D" w:rsidRDefault="005D314E" w:rsidP="00576C3D">
      <w:r w:rsidRPr="00576C3D">
        <w:t>I overgangsperioden fra 1. oktober 2023 til 31. desember 2025 skal importørens forpliktelser i henhold til denne forordningen begrenses til rapporteringsforpliktelsene fastsatt i artikkel 33, 34 og 35. Dersom importøren er etablert i en medlemsstat og oppnevner en indirekte tollrepresentant i samsvar med artikkel 18 i forordning (EU) nr. 952/2013, og dersom den indirekte tollrepresentanten samtykker i dette, skal rapporteringsplikten gjelde for denne indirekte tollrepresentanten. Dersom importøren ikke er etablert i en medlemsstat, skal rapporteringsplikten gjelde for den indirekte tollrepresentanten.</w:t>
      </w:r>
    </w:p>
    <w:p w14:paraId="0F1527D6" w14:textId="77777777" w:rsidR="005D314E" w:rsidRPr="00576C3D" w:rsidRDefault="005D314E" w:rsidP="00576C3D">
      <w:pPr>
        <w:pStyle w:val="avsnitt-undertittel"/>
      </w:pPr>
      <w:r w:rsidRPr="00576C3D">
        <w:t>Artikkel 33</w:t>
      </w:r>
    </w:p>
    <w:p w14:paraId="39A5FDA1" w14:textId="77777777" w:rsidR="005D314E" w:rsidRPr="00576C3D" w:rsidRDefault="005D314E" w:rsidP="00576C3D">
      <w:pPr>
        <w:pStyle w:val="Undertittel"/>
      </w:pPr>
      <w:r w:rsidRPr="00576C3D">
        <w:t>Import av varer</w:t>
      </w:r>
    </w:p>
    <w:p w14:paraId="2FFFEEDE" w14:textId="77777777" w:rsidR="005D314E" w:rsidRPr="00576C3D" w:rsidRDefault="005D314E" w:rsidP="00576C3D">
      <w:pPr>
        <w:pStyle w:val="friliste"/>
      </w:pPr>
      <w:r w:rsidRPr="00576C3D">
        <w:t>1.</w:t>
      </w:r>
      <w:r w:rsidRPr="00576C3D">
        <w:tab/>
        <w:t>Tollmyndighetene skal underrette importøren eller, i situasjonene som omfattes av artikkel 32, den indirekte tollrepresentanten om rapporteringsplikten etter artikkel 35, senest når varene frigis til tollprosedyren overgang til fri disponering.</w:t>
      </w:r>
    </w:p>
    <w:p w14:paraId="087B8B46" w14:textId="77777777" w:rsidR="005D314E" w:rsidRPr="00576C3D" w:rsidRDefault="005D314E" w:rsidP="00576C3D">
      <w:pPr>
        <w:pStyle w:val="friliste"/>
      </w:pPr>
      <w:r w:rsidRPr="00576C3D">
        <w:t>2.</w:t>
      </w:r>
      <w:r w:rsidRPr="00576C3D">
        <w:tab/>
        <w:t xml:space="preserve">Tollmyndighetene skal periodisk og automatisk, særlig ved hjelp av tilsynsmekanismen som er fastsatt i henhold til artikkel 56 nr. 5 i forordning (EU) nr. 952/2013 eller gjennom elektronisk dataoverføring, meddele Kommisjonen opplysninger om importerte varer, herunder bearbeidede produkter som følger av prosedyren for utenlands bearbeiding. Slike opplysninger skal omfatte </w:t>
      </w:r>
      <w:proofErr w:type="spellStart"/>
      <w:r w:rsidRPr="00576C3D">
        <w:t>tolldeklarantens</w:t>
      </w:r>
      <w:proofErr w:type="spellEnd"/>
      <w:r w:rsidRPr="00576C3D">
        <w:t xml:space="preserve"> og importørens EORI-nummer, den </w:t>
      </w:r>
      <w:proofErr w:type="spellStart"/>
      <w:r w:rsidRPr="00576C3D">
        <w:t>åttesifrede</w:t>
      </w:r>
      <w:proofErr w:type="spellEnd"/>
      <w:r w:rsidRPr="00576C3D">
        <w:t xml:space="preserve"> KN-koden, mengde, opprinnelsesland, datoen for tolldeklarasjonen og tollprosedyren.</w:t>
      </w:r>
    </w:p>
    <w:p w14:paraId="069AC0FE" w14:textId="77777777" w:rsidR="005D314E" w:rsidRPr="00576C3D" w:rsidRDefault="005D314E" w:rsidP="00576C3D">
      <w:pPr>
        <w:pStyle w:val="friliste"/>
      </w:pPr>
      <w:r w:rsidRPr="00576C3D">
        <w:t>3.</w:t>
      </w:r>
      <w:r w:rsidRPr="00576C3D">
        <w:tab/>
        <w:t xml:space="preserve">Kommisjonen skal oversende opplysningene nevnt i nr. 2 til vedkommende myndigheter i medlemsstatene der </w:t>
      </w:r>
      <w:proofErr w:type="spellStart"/>
      <w:r w:rsidRPr="00576C3D">
        <w:t>tolldeklaranten</w:t>
      </w:r>
      <w:proofErr w:type="spellEnd"/>
      <w:r w:rsidRPr="00576C3D">
        <w:t>, og importøren der dette er aktuelt, er etablert.</w:t>
      </w:r>
    </w:p>
    <w:p w14:paraId="79EA8B77" w14:textId="77777777" w:rsidR="005D314E" w:rsidRPr="00576C3D" w:rsidRDefault="005D314E" w:rsidP="00576C3D">
      <w:pPr>
        <w:pStyle w:val="avsnitt-undertittel"/>
      </w:pPr>
      <w:r w:rsidRPr="00576C3D">
        <w:t>Artikkel 34</w:t>
      </w:r>
    </w:p>
    <w:p w14:paraId="35F5411A" w14:textId="77777777" w:rsidR="005D314E" w:rsidRPr="00576C3D" w:rsidRDefault="005D314E" w:rsidP="00576C3D">
      <w:pPr>
        <w:pStyle w:val="Undertittel"/>
      </w:pPr>
      <w:r w:rsidRPr="00576C3D">
        <w:t>Rapporteringsplikt for visse tollprosedyrer</w:t>
      </w:r>
    </w:p>
    <w:p w14:paraId="1CCF5971" w14:textId="77777777" w:rsidR="005D314E" w:rsidRPr="00576C3D" w:rsidRDefault="005D314E" w:rsidP="00576C3D">
      <w:pPr>
        <w:pStyle w:val="friliste"/>
      </w:pPr>
      <w:r w:rsidRPr="00576C3D">
        <w:t>1.</w:t>
      </w:r>
      <w:r w:rsidRPr="00576C3D">
        <w:tab/>
        <w:t xml:space="preserve">Når bearbeidede produkter som er resultatet av prosedyren for innenlands bearbeiding som nevnt i artikkel 256 i forordning (EU) nr. 952/2013, importeres, skal rapporteringsplikten nevnt i artikkel 35 i denne forordningen omfatte opplysninger om produktene som ble underlagt prosedyren for innenlands bearbeiding, og som resulterte i de importerte bearbeidede produktene, selv om de bearbeidede produktene ikke er oppført i vedlegg I til denne forordningen. Dette nummeret får også </w:t>
      </w:r>
      <w:proofErr w:type="gramStart"/>
      <w:r w:rsidRPr="00576C3D">
        <w:t>anvendelse</w:t>
      </w:r>
      <w:proofErr w:type="gramEnd"/>
      <w:r w:rsidRPr="00576C3D">
        <w:t xml:space="preserve"> dersom de bearbeidede produktene som er et resultat av prosedyren for innenlands bearbeiding, er returnerte varer som nevnt i artikkel 205 i forordning (EU) nr. 952/2013.</w:t>
      </w:r>
    </w:p>
    <w:p w14:paraId="59A6F31B" w14:textId="77777777" w:rsidR="005D314E" w:rsidRPr="00576C3D" w:rsidRDefault="005D314E" w:rsidP="00576C3D">
      <w:pPr>
        <w:pStyle w:val="friliste"/>
      </w:pPr>
      <w:r w:rsidRPr="00576C3D">
        <w:t>2.</w:t>
      </w:r>
      <w:r w:rsidRPr="00576C3D">
        <w:tab/>
        <w:t xml:space="preserve">Rapporteringsplikten nevnt i artikkel 35 i denne forordningen får ikke </w:t>
      </w:r>
      <w:proofErr w:type="gramStart"/>
      <w:r w:rsidRPr="00576C3D">
        <w:t>anvendelse</w:t>
      </w:r>
      <w:proofErr w:type="gramEnd"/>
      <w:r w:rsidRPr="00576C3D">
        <w:t xml:space="preserve"> på import av</w:t>
      </w:r>
    </w:p>
    <w:p w14:paraId="74C92F58" w14:textId="77777777" w:rsidR="005D314E" w:rsidRPr="00576C3D" w:rsidRDefault="005D314E" w:rsidP="00576C3D">
      <w:pPr>
        <w:pStyle w:val="friliste2"/>
      </w:pPr>
      <w:r w:rsidRPr="00576C3D">
        <w:t>a)</w:t>
      </w:r>
      <w:r w:rsidRPr="00576C3D">
        <w:tab/>
        <w:t>bearbeidede produkter som er et resultat av prosedyren for utenlands bearbeiding nevnt i artikkel 259 i forordning (EU) nr. 952/2013,</w:t>
      </w:r>
    </w:p>
    <w:p w14:paraId="652A2952" w14:textId="77777777" w:rsidR="005D314E" w:rsidRPr="00576C3D" w:rsidRDefault="005D314E" w:rsidP="00576C3D">
      <w:pPr>
        <w:pStyle w:val="friliste2"/>
      </w:pPr>
      <w:r w:rsidRPr="00576C3D">
        <w:t>b)</w:t>
      </w:r>
      <w:r w:rsidRPr="00576C3D">
        <w:tab/>
        <w:t>varer som anses som returnerte varer i henhold til artikkel 203 i forordning (EU) nr. 952/2013.</w:t>
      </w:r>
    </w:p>
    <w:p w14:paraId="1D800D6D" w14:textId="77777777" w:rsidR="005D314E" w:rsidRPr="00576C3D" w:rsidRDefault="005D314E" w:rsidP="00576C3D">
      <w:pPr>
        <w:pStyle w:val="avsnitt-undertittel"/>
      </w:pPr>
      <w:r w:rsidRPr="00576C3D">
        <w:t>Artikkel 35</w:t>
      </w:r>
    </w:p>
    <w:p w14:paraId="548FD1E2" w14:textId="77777777" w:rsidR="005D314E" w:rsidRPr="00576C3D" w:rsidRDefault="005D314E" w:rsidP="00576C3D">
      <w:pPr>
        <w:pStyle w:val="Undertittel"/>
      </w:pPr>
      <w:r w:rsidRPr="00576C3D">
        <w:t>Rapporteringsforpliktelse</w:t>
      </w:r>
    </w:p>
    <w:p w14:paraId="2C73A94A" w14:textId="77777777" w:rsidR="005D314E" w:rsidRPr="00576C3D" w:rsidRDefault="005D314E" w:rsidP="00576C3D">
      <w:pPr>
        <w:pStyle w:val="friliste"/>
      </w:pPr>
      <w:r w:rsidRPr="00576C3D">
        <w:t>1.</w:t>
      </w:r>
      <w:r w:rsidRPr="00576C3D">
        <w:tab/>
        <w:t>Hver importør eller, i de situasjonene som omfattes av artikkel 32, den indirekte tollrepresentanten som har importert varer i løpet av et gitt kvartal i et kalenderår, skal framlegge en rapport for det aktuelle kvartalet («CBAM-rapporten») som inneholder opplysninger om varene som er importert i løpet av kvartalet, for Kommisjonen senest én måned etter utgangen av det aktuelle kvartalet.</w:t>
      </w:r>
    </w:p>
    <w:p w14:paraId="6C323BB8" w14:textId="77777777" w:rsidR="005D314E" w:rsidRPr="00576C3D" w:rsidRDefault="005D314E" w:rsidP="00576C3D">
      <w:pPr>
        <w:pStyle w:val="friliste"/>
      </w:pPr>
      <w:r w:rsidRPr="00576C3D">
        <w:t>2.</w:t>
      </w:r>
      <w:r w:rsidRPr="00576C3D">
        <w:tab/>
        <w:t>CBAM-rapporten skal inneholde følgende opplysninger:</w:t>
      </w:r>
    </w:p>
    <w:p w14:paraId="5E29F8C1" w14:textId="77777777" w:rsidR="005D314E" w:rsidRPr="00576C3D" w:rsidRDefault="005D314E" w:rsidP="00576C3D">
      <w:pPr>
        <w:pStyle w:val="friliste2"/>
      </w:pPr>
      <w:r w:rsidRPr="00576C3D">
        <w:t>a)</w:t>
      </w:r>
      <w:r w:rsidRPr="00576C3D">
        <w:tab/>
        <w:t xml:space="preserve">Den samlede mengden av hver varetype, uttrykt i </w:t>
      </w:r>
      <w:proofErr w:type="spellStart"/>
      <w:r w:rsidRPr="00576C3D">
        <w:t>megawattimer</w:t>
      </w:r>
      <w:proofErr w:type="spellEnd"/>
      <w:r w:rsidRPr="00576C3D">
        <w:t xml:space="preserve"> for elektrisitet og i tonn for andre varer, som er angitt for hvert anlegg som produserer varene i opprinnelseslandet.</w:t>
      </w:r>
    </w:p>
    <w:p w14:paraId="0B38E825" w14:textId="77777777" w:rsidR="005D314E" w:rsidRPr="00576C3D" w:rsidRDefault="005D314E" w:rsidP="00576C3D">
      <w:pPr>
        <w:pStyle w:val="friliste2"/>
      </w:pPr>
      <w:r w:rsidRPr="00576C3D">
        <w:t>b)</w:t>
      </w:r>
      <w:r w:rsidRPr="00576C3D">
        <w:tab/>
        <w:t>De faktiske samlede innbakte utslippene, uttrykt i tonn CO</w:t>
      </w:r>
      <w:r w:rsidRPr="00576C3D">
        <w:rPr>
          <w:rStyle w:val="skrift-senket"/>
        </w:rPr>
        <w:t>2</w:t>
      </w:r>
      <w:r w:rsidRPr="00576C3D">
        <w:t xml:space="preserve">-ekvivalenter som slippes ut per </w:t>
      </w:r>
      <w:proofErr w:type="spellStart"/>
      <w:r w:rsidRPr="00576C3D">
        <w:t>megawattime</w:t>
      </w:r>
      <w:proofErr w:type="spellEnd"/>
      <w:r w:rsidRPr="00576C3D">
        <w:t xml:space="preserve"> elektrisitet eller, for andre varer, i tonn CO</w:t>
      </w:r>
      <w:r w:rsidRPr="00576C3D">
        <w:rPr>
          <w:rStyle w:val="skrift-senket"/>
        </w:rPr>
        <w:t>2</w:t>
      </w:r>
      <w:r w:rsidRPr="00576C3D">
        <w:t>-ekvivalenter som slippes ut per tonn av hver varetype, beregnet etter framgangsmåten beskrevet i vedlegg IV.</w:t>
      </w:r>
    </w:p>
    <w:p w14:paraId="212E99BA" w14:textId="77777777" w:rsidR="005D314E" w:rsidRPr="00576C3D" w:rsidRDefault="005D314E" w:rsidP="00576C3D">
      <w:pPr>
        <w:pStyle w:val="friliste2"/>
      </w:pPr>
      <w:r w:rsidRPr="00576C3D">
        <w:t>c)</w:t>
      </w:r>
      <w:r w:rsidRPr="00576C3D">
        <w:tab/>
        <w:t>De samlede indirekte utslippene beregnet i samsvar med gjennomføringsrettsakten nevnt i nr. 7.</w:t>
      </w:r>
    </w:p>
    <w:p w14:paraId="13CC3696" w14:textId="77777777" w:rsidR="005D314E" w:rsidRPr="00576C3D" w:rsidRDefault="005D314E" w:rsidP="00576C3D">
      <w:pPr>
        <w:pStyle w:val="friliste2"/>
      </w:pPr>
      <w:r w:rsidRPr="00576C3D">
        <w:t>d)</w:t>
      </w:r>
      <w:r w:rsidRPr="00576C3D">
        <w:tab/>
        <w:t>Karbonprisen som skal betales i et opprinnelsesland for utslippene som er innbakt i de importerte varene, idet det tas hensyn til enhver rabatt eller annen form for kompensasjon som er tilgjengelig.</w:t>
      </w:r>
    </w:p>
    <w:p w14:paraId="1C56CCF2" w14:textId="77777777" w:rsidR="005D314E" w:rsidRPr="00576C3D" w:rsidRDefault="005D314E" w:rsidP="00576C3D">
      <w:pPr>
        <w:pStyle w:val="friliste"/>
      </w:pPr>
      <w:r w:rsidRPr="00576C3D">
        <w:t>3.</w:t>
      </w:r>
      <w:r w:rsidRPr="00576C3D">
        <w:tab/>
        <w:t>Kommisjonen skal med jevne mellomrom oversende de relevante vedkommende myndigheter en liste over de importører eller indirekte tollrepresentanter som er etablert i medlemsstaten og som den har grunn til å tro ikke har oppfylt forpliktelsen til å framlegge en CBAM-rapport i samsvar med nr. 1, med tilhørende begrunnelser.</w:t>
      </w:r>
    </w:p>
    <w:p w14:paraId="49011916" w14:textId="77777777" w:rsidR="005D314E" w:rsidRPr="00576C3D" w:rsidRDefault="005D314E" w:rsidP="00576C3D">
      <w:pPr>
        <w:pStyle w:val="friliste"/>
      </w:pPr>
      <w:r w:rsidRPr="00576C3D">
        <w:t>4.</w:t>
      </w:r>
      <w:r w:rsidRPr="00576C3D">
        <w:tab/>
        <w:t>Dersom Kommisjonen mener at en CBAM-rapport er ufullstendig eller uriktig, skal den oversende vedkommende myndighet i medlemsstaten der importøren er etablert, eller, i situasjonene som omfattes av artikkel 32, der den indirekte tollrepresentanten er etablert, hvilke tilleggsopplysninger den anser som nødvendige for å utfylle eller korrigere denne rapporten. Disse opplysningene gis til orientering og uten at det berører den endelige vurderingen som skal foretas av vedkommende myndighet. Vedkommende myndighet skal innlede framgangsmåten for korrigering og underrette importøren eller, i situasjonene som omfattes av artikkel 32, den indirekte tollrepresentanten om hvilke tilleggsopplysninger som er nødvendige for å korrigere rapporten. Når det er hensiktsmessig, skal importøren eller den indirekte tollrepresentanten oversende en korrigert rapport til vedkommende myndighet og til Kommisjonen.</w:t>
      </w:r>
    </w:p>
    <w:p w14:paraId="4A2C2B2C" w14:textId="77777777" w:rsidR="005D314E" w:rsidRPr="00576C3D" w:rsidRDefault="005D314E" w:rsidP="00576C3D">
      <w:pPr>
        <w:pStyle w:val="friliste"/>
      </w:pPr>
      <w:r w:rsidRPr="00576C3D">
        <w:t>5.</w:t>
      </w:r>
      <w:r w:rsidRPr="00576C3D">
        <w:tab/>
        <w:t>Dersom vedkommende myndighet i medlemsstaten nevnt i nr. 4 i denne artikkelen innleder en korrigeringsprosedyre, herunder tar hensyn til opplysninger mottatt i samsvar med nr. 4 i denne artikkelen, og fastslår at importøren eller, dersom det er aktuelt i samsvar med artikkel 32, den indirekte tollrepresentanten ikke har truffet de nødvendige tiltak for å korrigere CBAM-rapporten, eller dersom den berørte vedkommende myndighet fastslår, deriblant under hensyn til opplysninger mottatt i samsvar med nr. 3 i denne artikkelen, at importøren eller, dersom det er aktuelt i samsvar med artikkel 32, den indirekte tollrepresentanten ikke har oppfylt forpliktelsen til å framlegge en CBAM-rapport i samsvar med nr. 1 i denne artikkelen, skal vedkommende myndighet ilegge importøren eller, dersom det er aktuelt i samsvar med artikkel 32, den indirekte tollrepresentanten et effektivt, forholdsmessig og avskrekkende gebyr. For dette formål skal vedkommende myndighet underrette importøren eller, dersom det er relevant i samsvar med artikkel 32, den indirekte tollrepresentanten og underrette Kommisjonen om følgende:</w:t>
      </w:r>
    </w:p>
    <w:p w14:paraId="1B810A15" w14:textId="77777777" w:rsidR="005D314E" w:rsidRPr="00576C3D" w:rsidRDefault="005D314E" w:rsidP="00576C3D">
      <w:pPr>
        <w:pStyle w:val="friliste2"/>
      </w:pPr>
      <w:r w:rsidRPr="00576C3D">
        <w:t>a)</w:t>
      </w:r>
      <w:r w:rsidRPr="00576C3D">
        <w:tab/>
        <w:t>Konklusjonen om at importøren eller eventuelt den indirekte tollrepresentanten i samsvar med artikkel 32 har unnlatt å oppfylle plikten til å framlegge en rapport for et gitt kvartal eller å treffe de nødvendige tiltakene for å korrigere rapporten, samt begrunnelsen for denne konklusjonen.</w:t>
      </w:r>
    </w:p>
    <w:p w14:paraId="406C8BF7" w14:textId="77777777" w:rsidR="005D314E" w:rsidRPr="00576C3D" w:rsidRDefault="005D314E" w:rsidP="00576C3D">
      <w:pPr>
        <w:pStyle w:val="friliste2"/>
      </w:pPr>
      <w:r w:rsidRPr="00576C3D">
        <w:t>b)</w:t>
      </w:r>
      <w:r w:rsidRPr="00576C3D">
        <w:tab/>
        <w:t>Gebyret som pålegges importøren eller, dersom det er relevant i samsvar med artikkel 32, den indirekte tollrepresentanten.</w:t>
      </w:r>
    </w:p>
    <w:p w14:paraId="1F424F62" w14:textId="77777777" w:rsidR="005D314E" w:rsidRPr="00576C3D" w:rsidRDefault="005D314E" w:rsidP="00576C3D">
      <w:pPr>
        <w:pStyle w:val="friliste2"/>
      </w:pPr>
      <w:r w:rsidRPr="00576C3D">
        <w:t>c)</w:t>
      </w:r>
      <w:r w:rsidRPr="00576C3D">
        <w:tab/>
        <w:t>Datoen gebyret forfaller til betaling.</w:t>
      </w:r>
    </w:p>
    <w:p w14:paraId="4DEC3579" w14:textId="77777777" w:rsidR="005D314E" w:rsidRPr="00576C3D" w:rsidRDefault="005D314E" w:rsidP="00576C3D">
      <w:pPr>
        <w:pStyle w:val="friliste2"/>
      </w:pPr>
      <w:r w:rsidRPr="00576C3D">
        <w:t>d)</w:t>
      </w:r>
      <w:r w:rsidRPr="00576C3D">
        <w:tab/>
        <w:t>Tiltaket som importøren eller, dersom det er relevant i samsvar med artikkel 32, den indirekte tollrepresentanten skal treffe for å betale gebyret.</w:t>
      </w:r>
    </w:p>
    <w:p w14:paraId="79CC38BF" w14:textId="77777777" w:rsidR="005D314E" w:rsidRPr="00576C3D" w:rsidRDefault="005D314E" w:rsidP="00576C3D">
      <w:pPr>
        <w:pStyle w:val="friliste2"/>
      </w:pPr>
      <w:r w:rsidRPr="00576C3D">
        <w:t>e)</w:t>
      </w:r>
      <w:r w:rsidRPr="00576C3D">
        <w:tab/>
        <w:t>Importørens, eller, dersom det er relevant i samsvar med artikkel 32, den indirekte tollrepresentantens rett til å klage.</w:t>
      </w:r>
    </w:p>
    <w:p w14:paraId="2AA9F6C4" w14:textId="77777777" w:rsidR="005D314E" w:rsidRPr="00576C3D" w:rsidRDefault="005D314E" w:rsidP="00576C3D">
      <w:pPr>
        <w:pStyle w:val="friliste"/>
      </w:pPr>
      <w:r w:rsidRPr="00576C3D">
        <w:t>6.</w:t>
      </w:r>
      <w:r w:rsidRPr="00576C3D">
        <w:tab/>
        <w:t>Dersom vedkommende myndighet, etter å ha mottatt opplysningene fra Kommisjonen i samsvar med denne artikkelen, beslutter ikke å treffe tiltak, skal vedkommende myndighet underrette Kommisjonen om dette.</w:t>
      </w:r>
    </w:p>
    <w:p w14:paraId="556C8EF3" w14:textId="77777777" w:rsidR="005D314E" w:rsidRPr="00576C3D" w:rsidRDefault="005D314E" w:rsidP="00576C3D">
      <w:pPr>
        <w:pStyle w:val="friliste"/>
      </w:pPr>
      <w:r w:rsidRPr="00576C3D">
        <w:t>7.</w:t>
      </w:r>
      <w:r w:rsidRPr="00576C3D">
        <w:tab/>
        <w:t>Kommisjonen gis myndighet til å vedta gjennomføringsrettsakter når det gjelder</w:t>
      </w:r>
    </w:p>
    <w:p w14:paraId="40B4E0A3" w14:textId="77777777" w:rsidR="005D314E" w:rsidRPr="00576C3D" w:rsidRDefault="005D314E" w:rsidP="00576C3D">
      <w:pPr>
        <w:pStyle w:val="friliste"/>
      </w:pPr>
      <w:r w:rsidRPr="00576C3D">
        <w:t>a)</w:t>
      </w:r>
      <w:r w:rsidRPr="00576C3D">
        <w:tab/>
        <w:t>informasjonen som skal rapporteres, metoden og formatet for denne rapporteringen, herunder detaljerte opplysninger per opprinnelsesland og varetype til støtte for de samlede mengdene nevnt i nr. 2 bokstav a), b) og c), og eksempler på enhver relevant rabatt eller annen form for kompensasjon som er tilgjengelig som nevnt i nr. 2 bokstav d),</w:t>
      </w:r>
    </w:p>
    <w:p w14:paraId="761A9751" w14:textId="77777777" w:rsidR="005D314E" w:rsidRPr="00576C3D" w:rsidRDefault="005D314E" w:rsidP="00576C3D">
      <w:pPr>
        <w:pStyle w:val="friliste"/>
      </w:pPr>
      <w:r w:rsidRPr="00576C3D">
        <w:t>b)</w:t>
      </w:r>
      <w:r w:rsidRPr="00576C3D">
        <w:tab/>
        <w:t>det veiledende spekteret av gebyrer som skal ilegges i henhold til nr. 5, og kriteriene som skal tas i betraktning ved fastsettelsen av det faktiske beløpet, herunder alvoret og varigheten av den manglende rapporteringen,</w:t>
      </w:r>
    </w:p>
    <w:p w14:paraId="752BF0EA" w14:textId="77777777" w:rsidR="005D314E" w:rsidRPr="00576C3D" w:rsidRDefault="005D314E" w:rsidP="00576C3D">
      <w:pPr>
        <w:pStyle w:val="friliste"/>
      </w:pPr>
      <w:r w:rsidRPr="00576C3D">
        <w:t>c)</w:t>
      </w:r>
      <w:r w:rsidRPr="00576C3D">
        <w:tab/>
        <w:t>detaljerte regler for omregning av den årlige gjennomsnittlige karbonprisen nevnt i nr. 2 bokstav d), uttrykt i utenlandsk valuta, til euro med den årlige gjennomsnittlige valutakursen,</w:t>
      </w:r>
    </w:p>
    <w:p w14:paraId="31C62FD4" w14:textId="77777777" w:rsidR="005D314E" w:rsidRPr="00576C3D" w:rsidRDefault="005D314E" w:rsidP="00576C3D">
      <w:pPr>
        <w:pStyle w:val="friliste"/>
      </w:pPr>
      <w:r w:rsidRPr="00576C3D">
        <w:t>d)</w:t>
      </w:r>
      <w:r w:rsidRPr="00576C3D">
        <w:tab/>
        <w:t xml:space="preserve">detaljerte regler om elementene i beregningsmetodene fastsatt i vedlegg IV, herunder fastsettelse av systemgrenser for produksjonsprosesser, utslippsfaktorer, anleggsspesifikke verdier for faktiske utslipp og deres respektive </w:t>
      </w:r>
      <w:proofErr w:type="gramStart"/>
      <w:r w:rsidRPr="00576C3D">
        <w:t>anvendelse</w:t>
      </w:r>
      <w:proofErr w:type="gramEnd"/>
      <w:r w:rsidRPr="00576C3D">
        <w:t xml:space="preserve"> på individuelle varer, samt fastsettelse av metoder for å sikre påliteligheten av data, herunder detaljnivået,</w:t>
      </w:r>
    </w:p>
    <w:p w14:paraId="1B25A45F" w14:textId="77777777" w:rsidR="005D314E" w:rsidRPr="00576C3D" w:rsidRDefault="005D314E" w:rsidP="00576C3D">
      <w:pPr>
        <w:pStyle w:val="friliste"/>
      </w:pPr>
      <w:r w:rsidRPr="00576C3D">
        <w:t>e)</w:t>
      </w:r>
      <w:r w:rsidRPr="00576C3D">
        <w:tab/>
        <w:t>midlene og formatet for rapporteringskravene for indirekte utslipp fra importerte varer. Dette formatet skal omfatte den mengden elektrisitet som brukes til produksjon av varene som er oppført i vedlegg I, samt opprinnelseslandet, produksjonskilden og utslippsfaktorene knyttet til denne elektrisiteten.</w:t>
      </w:r>
    </w:p>
    <w:p w14:paraId="0E1F8783" w14:textId="77777777" w:rsidR="005D314E" w:rsidRPr="00576C3D" w:rsidRDefault="005D314E" w:rsidP="00576C3D">
      <w:pPr>
        <w:pStyle w:val="Listeavsnitt"/>
      </w:pPr>
      <w:r w:rsidRPr="00576C3D">
        <w:t>Disse gjennomføringsrettsaktene skal vedtas i samsvar med undersøkelsesprosedyren nevnt i artikkel 29 nr. 2 i denne forordningen. De skal gjelde for varer som importeres i overgangsperioden nevnt i artikkel 32 i denne forordningen, og skal bygge på eksisterende regelverk for anlegg som faller inn under virkeområdet for direktiv 2003/87/EF.</w:t>
      </w:r>
    </w:p>
    <w:p w14:paraId="6A9E6C80" w14:textId="77777777" w:rsidR="005D314E" w:rsidRPr="00576C3D" w:rsidRDefault="005D314E" w:rsidP="00576C3D">
      <w:pPr>
        <w:pStyle w:val="avsnitt-undertittel"/>
      </w:pPr>
      <w:r w:rsidRPr="00576C3D">
        <w:t>Kapittel XI</w:t>
      </w:r>
    </w:p>
    <w:p w14:paraId="5AB56861" w14:textId="77777777" w:rsidR="005D314E" w:rsidRPr="00576C3D" w:rsidRDefault="005D314E" w:rsidP="00576C3D">
      <w:pPr>
        <w:pStyle w:val="Undertittel"/>
      </w:pPr>
      <w:r w:rsidRPr="00576C3D">
        <w:t>Sluttbestemmelser</w:t>
      </w:r>
    </w:p>
    <w:p w14:paraId="7C723111" w14:textId="77777777" w:rsidR="005D314E" w:rsidRPr="00576C3D" w:rsidRDefault="005D314E" w:rsidP="00576C3D">
      <w:pPr>
        <w:pStyle w:val="avsnitt-undertittel"/>
      </w:pPr>
      <w:r w:rsidRPr="00576C3D">
        <w:t>Artikkel 36</w:t>
      </w:r>
    </w:p>
    <w:p w14:paraId="43D16597" w14:textId="77777777" w:rsidR="005D314E" w:rsidRPr="00576C3D" w:rsidRDefault="005D314E" w:rsidP="00576C3D">
      <w:pPr>
        <w:pStyle w:val="Undertittel"/>
      </w:pPr>
      <w:r w:rsidRPr="00576C3D">
        <w:t>Ikrafttredelse</w:t>
      </w:r>
    </w:p>
    <w:p w14:paraId="53333AFB" w14:textId="77777777" w:rsidR="005D314E" w:rsidRPr="00576C3D" w:rsidRDefault="005D314E" w:rsidP="00576C3D">
      <w:pPr>
        <w:pStyle w:val="friliste"/>
      </w:pPr>
      <w:r w:rsidRPr="00576C3D">
        <w:t>1.</w:t>
      </w:r>
      <w:r w:rsidRPr="00576C3D">
        <w:tab/>
        <w:t xml:space="preserve">Denne forordningen trer i kraft dagen etter at den er kunngjort i </w:t>
      </w:r>
      <w:r w:rsidRPr="00576C3D">
        <w:rPr>
          <w:rStyle w:val="kursiv"/>
        </w:rPr>
        <w:t>Den europeiske unions tidende.</w:t>
      </w:r>
    </w:p>
    <w:p w14:paraId="6F6A82F3" w14:textId="77777777" w:rsidR="005D314E" w:rsidRPr="00576C3D" w:rsidRDefault="005D314E" w:rsidP="00576C3D">
      <w:pPr>
        <w:pStyle w:val="friliste"/>
      </w:pPr>
      <w:r w:rsidRPr="00576C3D">
        <w:t>2.</w:t>
      </w:r>
      <w:r w:rsidRPr="00576C3D">
        <w:tab/>
        <w:t xml:space="preserve">Den får </w:t>
      </w:r>
      <w:proofErr w:type="gramStart"/>
      <w:r w:rsidRPr="00576C3D">
        <w:t>anvendelse</w:t>
      </w:r>
      <w:proofErr w:type="gramEnd"/>
      <w:r w:rsidRPr="00576C3D">
        <w:t xml:space="preserve"> fra 1. oktober 2023. Imidlertid gjelder følgende:</w:t>
      </w:r>
    </w:p>
    <w:p w14:paraId="642EA753" w14:textId="77777777" w:rsidR="005D314E" w:rsidRPr="00576C3D" w:rsidRDefault="005D314E" w:rsidP="00576C3D">
      <w:pPr>
        <w:pStyle w:val="friliste2"/>
      </w:pPr>
      <w:r w:rsidRPr="00576C3D">
        <w:t>a)</w:t>
      </w:r>
      <w:r w:rsidRPr="00576C3D">
        <w:tab/>
        <w:t xml:space="preserve">Artikkel 5, 10, 14, 16 og 17 får </w:t>
      </w:r>
      <w:proofErr w:type="gramStart"/>
      <w:r w:rsidRPr="00576C3D">
        <w:t>anvendelse</w:t>
      </w:r>
      <w:proofErr w:type="gramEnd"/>
      <w:r w:rsidRPr="00576C3D">
        <w:t xml:space="preserve"> fra 31. desember 2024.</w:t>
      </w:r>
    </w:p>
    <w:p w14:paraId="6CD60F83" w14:textId="77777777" w:rsidR="005D314E" w:rsidRPr="00576C3D" w:rsidRDefault="005D314E" w:rsidP="00576C3D">
      <w:pPr>
        <w:pStyle w:val="friliste2"/>
      </w:pPr>
      <w:r w:rsidRPr="00576C3D">
        <w:t>b)</w:t>
      </w:r>
      <w:r w:rsidRPr="00576C3D">
        <w:tab/>
        <w:t xml:space="preserve">Artikkel 2 nr. 2 og artikkel 4, 6–9, 15 og 19, artikkel 20 nr. 1, 3, 4 og 5, artikkel 21–27 og 31 får </w:t>
      </w:r>
      <w:proofErr w:type="gramStart"/>
      <w:r w:rsidRPr="00576C3D">
        <w:t>anvendelse</w:t>
      </w:r>
      <w:proofErr w:type="gramEnd"/>
      <w:r w:rsidRPr="00576C3D">
        <w:t xml:space="preserve"> fra 1. januar 2026.</w:t>
      </w:r>
    </w:p>
    <w:p w14:paraId="6B1E1829" w14:textId="77777777" w:rsidR="005D314E" w:rsidRPr="00576C3D" w:rsidRDefault="005D314E" w:rsidP="00576C3D">
      <w:r w:rsidRPr="00576C3D">
        <w:t>Denne forordningen er bindende i alle deler og kommer direkte til anvendelse i alle medlemsstater.</w:t>
      </w:r>
    </w:p>
    <w:p w14:paraId="7C91DB98" w14:textId="77777777" w:rsidR="005D314E" w:rsidRPr="00576C3D" w:rsidRDefault="005D314E" w:rsidP="00576C3D">
      <w:r w:rsidRPr="00576C3D">
        <w:t>Utferdiget i Strasbourg 10. mai 2023.</w:t>
      </w:r>
    </w:p>
    <w:p w14:paraId="02A25C6B" w14:textId="77777777" w:rsidR="005D314E" w:rsidRPr="00576C3D" w:rsidRDefault="005D314E" w:rsidP="00576C3D">
      <w:pPr>
        <w:pStyle w:val="Tabellnavn"/>
      </w:pPr>
      <w:r w:rsidRPr="00576C3D">
        <w:t>02N1xt1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440"/>
        <w:gridCol w:w="2100"/>
      </w:tblGrid>
      <w:tr w:rsidR="009D4FD2" w:rsidRPr="00576C3D" w14:paraId="7800DCD2" w14:textId="77777777">
        <w:trPr>
          <w:trHeight w:val="420"/>
        </w:trPr>
        <w:tc>
          <w:tcPr>
            <w:tcW w:w="2440" w:type="dxa"/>
            <w:tcBorders>
              <w:top w:val="nil"/>
              <w:left w:val="nil"/>
              <w:bottom w:val="nil"/>
              <w:right w:val="nil"/>
            </w:tcBorders>
            <w:tcMar>
              <w:top w:w="128" w:type="dxa"/>
              <w:left w:w="43" w:type="dxa"/>
              <w:bottom w:w="43" w:type="dxa"/>
              <w:right w:w="43" w:type="dxa"/>
            </w:tcMar>
            <w:vAlign w:val="bottom"/>
          </w:tcPr>
          <w:p w14:paraId="29C034A3" w14:textId="77777777" w:rsidR="005D314E" w:rsidRPr="00576C3D" w:rsidRDefault="005D314E" w:rsidP="00576C3D">
            <w:r w:rsidRPr="00576C3D">
              <w:rPr>
                <w:rStyle w:val="kursiv"/>
                <w:sz w:val="21"/>
              </w:rPr>
              <w:t>For Europaparlamentet</w:t>
            </w:r>
          </w:p>
        </w:tc>
        <w:tc>
          <w:tcPr>
            <w:tcW w:w="2100" w:type="dxa"/>
            <w:tcBorders>
              <w:top w:val="nil"/>
              <w:left w:val="nil"/>
              <w:bottom w:val="nil"/>
              <w:right w:val="nil"/>
            </w:tcBorders>
            <w:tcMar>
              <w:top w:w="128" w:type="dxa"/>
              <w:left w:w="43" w:type="dxa"/>
              <w:bottom w:w="43" w:type="dxa"/>
              <w:right w:w="43" w:type="dxa"/>
            </w:tcMar>
            <w:vAlign w:val="bottom"/>
          </w:tcPr>
          <w:p w14:paraId="4DB01ACC" w14:textId="77777777" w:rsidR="005D314E" w:rsidRPr="00576C3D" w:rsidRDefault="005D314E" w:rsidP="00576C3D">
            <w:r w:rsidRPr="00576C3D">
              <w:rPr>
                <w:rStyle w:val="kursiv"/>
                <w:sz w:val="21"/>
              </w:rPr>
              <w:t>For Rådet</w:t>
            </w:r>
          </w:p>
        </w:tc>
      </w:tr>
      <w:tr w:rsidR="009D4FD2" w:rsidRPr="00576C3D" w14:paraId="7D6A962C" w14:textId="77777777">
        <w:trPr>
          <w:trHeight w:val="380"/>
        </w:trPr>
        <w:tc>
          <w:tcPr>
            <w:tcW w:w="2440" w:type="dxa"/>
            <w:tcBorders>
              <w:top w:val="nil"/>
              <w:left w:val="nil"/>
              <w:bottom w:val="nil"/>
              <w:right w:val="nil"/>
            </w:tcBorders>
            <w:tcMar>
              <w:top w:w="128" w:type="dxa"/>
              <w:left w:w="43" w:type="dxa"/>
              <w:bottom w:w="43" w:type="dxa"/>
              <w:right w:w="43" w:type="dxa"/>
            </w:tcMar>
          </w:tcPr>
          <w:p w14:paraId="542466E3" w14:textId="77777777" w:rsidR="005D314E" w:rsidRPr="00576C3D" w:rsidRDefault="005D314E" w:rsidP="00576C3D">
            <w:r w:rsidRPr="00576C3D">
              <w:t xml:space="preserve">R. </w:t>
            </w:r>
            <w:proofErr w:type="spellStart"/>
            <w:r w:rsidRPr="00576C3D">
              <w:t>Metsola</w:t>
            </w:r>
            <w:proofErr w:type="spellEnd"/>
          </w:p>
        </w:tc>
        <w:tc>
          <w:tcPr>
            <w:tcW w:w="2100" w:type="dxa"/>
            <w:tcBorders>
              <w:top w:val="nil"/>
              <w:left w:val="nil"/>
              <w:bottom w:val="nil"/>
              <w:right w:val="nil"/>
            </w:tcBorders>
            <w:tcMar>
              <w:top w:w="128" w:type="dxa"/>
              <w:left w:w="43" w:type="dxa"/>
              <w:bottom w:w="43" w:type="dxa"/>
              <w:right w:w="43" w:type="dxa"/>
            </w:tcMar>
            <w:vAlign w:val="bottom"/>
          </w:tcPr>
          <w:p w14:paraId="138C0363" w14:textId="77777777" w:rsidR="005D314E" w:rsidRPr="00576C3D" w:rsidRDefault="005D314E" w:rsidP="00576C3D">
            <w:r w:rsidRPr="00576C3D">
              <w:t xml:space="preserve">J. </w:t>
            </w:r>
            <w:proofErr w:type="spellStart"/>
            <w:r w:rsidRPr="00576C3D">
              <w:t>Roswall</w:t>
            </w:r>
            <w:proofErr w:type="spellEnd"/>
          </w:p>
        </w:tc>
      </w:tr>
      <w:tr w:rsidR="009D4FD2" w:rsidRPr="00576C3D" w14:paraId="5BE999F9" w14:textId="77777777">
        <w:trPr>
          <w:trHeight w:val="380"/>
        </w:trPr>
        <w:tc>
          <w:tcPr>
            <w:tcW w:w="2440" w:type="dxa"/>
            <w:tcBorders>
              <w:top w:val="nil"/>
              <w:left w:val="nil"/>
              <w:bottom w:val="nil"/>
              <w:right w:val="nil"/>
            </w:tcBorders>
            <w:tcMar>
              <w:top w:w="128" w:type="dxa"/>
              <w:left w:w="43" w:type="dxa"/>
              <w:bottom w:w="43" w:type="dxa"/>
              <w:right w:w="43" w:type="dxa"/>
            </w:tcMar>
          </w:tcPr>
          <w:p w14:paraId="7D101270" w14:textId="77777777" w:rsidR="005D314E" w:rsidRPr="00576C3D" w:rsidRDefault="005D314E" w:rsidP="00576C3D">
            <w:r w:rsidRPr="00576C3D">
              <w:rPr>
                <w:rStyle w:val="kursiv"/>
                <w:sz w:val="21"/>
              </w:rPr>
              <w:t>President</w:t>
            </w:r>
          </w:p>
        </w:tc>
        <w:tc>
          <w:tcPr>
            <w:tcW w:w="2100" w:type="dxa"/>
            <w:tcBorders>
              <w:top w:val="nil"/>
              <w:left w:val="nil"/>
              <w:bottom w:val="nil"/>
              <w:right w:val="nil"/>
            </w:tcBorders>
            <w:tcMar>
              <w:top w:w="128" w:type="dxa"/>
              <w:left w:w="43" w:type="dxa"/>
              <w:bottom w:w="43" w:type="dxa"/>
              <w:right w:w="43" w:type="dxa"/>
            </w:tcMar>
            <w:vAlign w:val="bottom"/>
          </w:tcPr>
          <w:p w14:paraId="6CA047A6" w14:textId="77777777" w:rsidR="005D314E" w:rsidRPr="00576C3D" w:rsidRDefault="005D314E" w:rsidP="00576C3D">
            <w:r w:rsidRPr="00576C3D">
              <w:rPr>
                <w:rStyle w:val="kursiv"/>
                <w:sz w:val="21"/>
              </w:rPr>
              <w:t>Formann</w:t>
            </w:r>
          </w:p>
        </w:tc>
      </w:tr>
    </w:tbl>
    <w:p w14:paraId="378F4567" w14:textId="77777777" w:rsidR="005D314E" w:rsidRPr="00576C3D" w:rsidRDefault="005D314E" w:rsidP="00576C3D">
      <w:pPr>
        <w:pStyle w:val="avsnitt-undertittel"/>
      </w:pPr>
      <w:r w:rsidRPr="00576C3D">
        <w:t>Vedlegg I</w:t>
      </w:r>
    </w:p>
    <w:p w14:paraId="0E663F96" w14:textId="77777777" w:rsidR="005D314E" w:rsidRPr="00576C3D" w:rsidRDefault="005D314E" w:rsidP="00576C3D">
      <w:pPr>
        <w:pStyle w:val="Undertittel"/>
      </w:pPr>
      <w:r w:rsidRPr="00576C3D">
        <w:t>Liste over varer og klimagasser</w:t>
      </w:r>
    </w:p>
    <w:p w14:paraId="03A215B1" w14:textId="77777777" w:rsidR="005D314E" w:rsidRPr="00576C3D" w:rsidRDefault="005D314E" w:rsidP="00576C3D">
      <w:pPr>
        <w:pStyle w:val="friliste"/>
      </w:pPr>
      <w:r w:rsidRPr="00576C3D">
        <w:t>1.</w:t>
      </w:r>
      <w:r w:rsidRPr="00576C3D">
        <w:tab/>
        <w:t xml:space="preserve">Med henblikk på identifisering av varer får denne forordningen </w:t>
      </w:r>
      <w:proofErr w:type="gramStart"/>
      <w:r w:rsidRPr="00576C3D">
        <w:t>anvendelse</w:t>
      </w:r>
      <w:proofErr w:type="gramEnd"/>
      <w:r w:rsidRPr="00576C3D">
        <w:t xml:space="preserve"> på varer som omfattes av kodene i Den kombinerte nomenklatur («KN») som angitt i tabellen nedenfor. KN-kodene skal være de samme som i forordning (EØF) nr. 2658/87.</w:t>
      </w:r>
    </w:p>
    <w:p w14:paraId="7C26E39D" w14:textId="77777777" w:rsidR="005D314E" w:rsidRPr="00576C3D" w:rsidRDefault="005D314E" w:rsidP="00576C3D">
      <w:pPr>
        <w:pStyle w:val="friliste"/>
      </w:pPr>
      <w:r w:rsidRPr="00576C3D">
        <w:t>2.</w:t>
      </w:r>
      <w:r w:rsidRPr="00576C3D">
        <w:tab/>
        <w:t>I denne forordningen menes med klimagasser knyttet til varer nevnt i nr. 1 de klimagassene som er angitt i tabellen nedenfor for de aktuelle varene.</w:t>
      </w:r>
    </w:p>
    <w:p w14:paraId="7AF706B3" w14:textId="77777777" w:rsidR="005D314E" w:rsidRPr="00576C3D" w:rsidRDefault="005D314E" w:rsidP="00576C3D">
      <w:pPr>
        <w:pStyle w:val="Undertittel"/>
      </w:pPr>
      <w:r w:rsidRPr="00576C3D">
        <w:t>Sement</w:t>
      </w:r>
    </w:p>
    <w:p w14:paraId="71C90D37" w14:textId="77777777" w:rsidR="005D314E" w:rsidRPr="00576C3D" w:rsidRDefault="005D314E" w:rsidP="00576C3D">
      <w:pPr>
        <w:pStyle w:val="Tabellnavn"/>
      </w:pPr>
      <w:r w:rsidRPr="00576C3D">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220"/>
        <w:gridCol w:w="4360"/>
      </w:tblGrid>
      <w:tr w:rsidR="009D4FD2" w:rsidRPr="00576C3D" w14:paraId="5DACC3F4" w14:textId="77777777">
        <w:trPr>
          <w:trHeight w:val="360"/>
        </w:trPr>
        <w:tc>
          <w:tcPr>
            <w:tcW w:w="5220" w:type="dxa"/>
            <w:tcBorders>
              <w:top w:val="single" w:sz="4" w:space="0" w:color="000000"/>
              <w:left w:val="nil"/>
              <w:bottom w:val="single" w:sz="4" w:space="0" w:color="000000"/>
              <w:right w:val="nil"/>
            </w:tcBorders>
            <w:tcMar>
              <w:top w:w="128" w:type="dxa"/>
              <w:left w:w="43" w:type="dxa"/>
              <w:bottom w:w="43" w:type="dxa"/>
              <w:right w:w="103" w:type="dxa"/>
            </w:tcMar>
            <w:vAlign w:val="bottom"/>
          </w:tcPr>
          <w:p w14:paraId="490CF17D" w14:textId="77777777" w:rsidR="005D314E" w:rsidRPr="00576C3D" w:rsidRDefault="005D314E" w:rsidP="00576C3D">
            <w:r w:rsidRPr="00576C3D">
              <w:t>KN-kode</w:t>
            </w:r>
          </w:p>
        </w:tc>
        <w:tc>
          <w:tcPr>
            <w:tcW w:w="4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9921A7" w14:textId="77777777" w:rsidR="005D314E" w:rsidRPr="00576C3D" w:rsidRDefault="005D314E" w:rsidP="00576C3D">
            <w:r w:rsidRPr="00576C3D">
              <w:t>Klimagass</w:t>
            </w:r>
          </w:p>
        </w:tc>
      </w:tr>
      <w:tr w:rsidR="009D4FD2" w:rsidRPr="00576C3D" w14:paraId="7D1A49FE" w14:textId="77777777">
        <w:trPr>
          <w:trHeight w:val="380"/>
        </w:trPr>
        <w:tc>
          <w:tcPr>
            <w:tcW w:w="5220" w:type="dxa"/>
            <w:tcBorders>
              <w:top w:val="single" w:sz="4" w:space="0" w:color="000000"/>
              <w:left w:val="nil"/>
              <w:bottom w:val="nil"/>
              <w:right w:val="nil"/>
            </w:tcBorders>
            <w:tcMar>
              <w:top w:w="128" w:type="dxa"/>
              <w:left w:w="43" w:type="dxa"/>
              <w:bottom w:w="43" w:type="dxa"/>
              <w:right w:w="103" w:type="dxa"/>
            </w:tcMar>
          </w:tcPr>
          <w:p w14:paraId="47E66200" w14:textId="77777777" w:rsidR="005D314E" w:rsidRPr="00576C3D" w:rsidRDefault="005D314E" w:rsidP="00576C3D">
            <w:r w:rsidRPr="00576C3D">
              <w:t>2507 00 80 – Annen kaolinholdig leire</w:t>
            </w:r>
          </w:p>
        </w:tc>
        <w:tc>
          <w:tcPr>
            <w:tcW w:w="4360" w:type="dxa"/>
            <w:tcBorders>
              <w:top w:val="single" w:sz="4" w:space="0" w:color="000000"/>
              <w:left w:val="nil"/>
              <w:bottom w:val="nil"/>
              <w:right w:val="nil"/>
            </w:tcBorders>
            <w:tcMar>
              <w:top w:w="128" w:type="dxa"/>
              <w:left w:w="43" w:type="dxa"/>
              <w:bottom w:w="43" w:type="dxa"/>
              <w:right w:w="43" w:type="dxa"/>
            </w:tcMar>
          </w:tcPr>
          <w:p w14:paraId="6C4A653A" w14:textId="77777777" w:rsidR="005D314E" w:rsidRPr="00576C3D" w:rsidRDefault="005D314E" w:rsidP="00576C3D">
            <w:r w:rsidRPr="00576C3D">
              <w:t>Karbondioksid</w:t>
            </w:r>
          </w:p>
        </w:tc>
      </w:tr>
      <w:tr w:rsidR="009D4FD2" w:rsidRPr="00576C3D" w14:paraId="6DDD9F1B" w14:textId="77777777">
        <w:trPr>
          <w:trHeight w:val="380"/>
        </w:trPr>
        <w:tc>
          <w:tcPr>
            <w:tcW w:w="5220" w:type="dxa"/>
            <w:tcBorders>
              <w:top w:val="nil"/>
              <w:left w:val="nil"/>
              <w:bottom w:val="nil"/>
              <w:right w:val="nil"/>
            </w:tcBorders>
            <w:tcMar>
              <w:top w:w="128" w:type="dxa"/>
              <w:left w:w="43" w:type="dxa"/>
              <w:bottom w:w="43" w:type="dxa"/>
              <w:right w:w="103" w:type="dxa"/>
            </w:tcMar>
          </w:tcPr>
          <w:p w14:paraId="74959313" w14:textId="77777777" w:rsidR="005D314E" w:rsidRPr="00576C3D" w:rsidRDefault="005D314E" w:rsidP="00576C3D">
            <w:r w:rsidRPr="00576C3D">
              <w:t>2523 10 00 – Sementklinker</w:t>
            </w:r>
          </w:p>
        </w:tc>
        <w:tc>
          <w:tcPr>
            <w:tcW w:w="4360" w:type="dxa"/>
            <w:tcBorders>
              <w:top w:val="nil"/>
              <w:left w:val="nil"/>
              <w:bottom w:val="nil"/>
              <w:right w:val="nil"/>
            </w:tcBorders>
            <w:tcMar>
              <w:top w:w="128" w:type="dxa"/>
              <w:left w:w="43" w:type="dxa"/>
              <w:bottom w:w="43" w:type="dxa"/>
              <w:right w:w="43" w:type="dxa"/>
            </w:tcMar>
          </w:tcPr>
          <w:p w14:paraId="29383F35" w14:textId="77777777" w:rsidR="005D314E" w:rsidRPr="00576C3D" w:rsidRDefault="005D314E" w:rsidP="00576C3D">
            <w:r w:rsidRPr="00576C3D">
              <w:t>Karbondioksid</w:t>
            </w:r>
          </w:p>
        </w:tc>
      </w:tr>
      <w:tr w:rsidR="009D4FD2" w:rsidRPr="00576C3D" w14:paraId="35B37942" w14:textId="77777777">
        <w:trPr>
          <w:trHeight w:val="380"/>
        </w:trPr>
        <w:tc>
          <w:tcPr>
            <w:tcW w:w="5220" w:type="dxa"/>
            <w:tcBorders>
              <w:top w:val="nil"/>
              <w:left w:val="nil"/>
              <w:bottom w:val="nil"/>
              <w:right w:val="nil"/>
            </w:tcBorders>
            <w:tcMar>
              <w:top w:w="128" w:type="dxa"/>
              <w:left w:w="43" w:type="dxa"/>
              <w:bottom w:w="43" w:type="dxa"/>
              <w:right w:w="103" w:type="dxa"/>
            </w:tcMar>
          </w:tcPr>
          <w:p w14:paraId="6A2DBA41" w14:textId="77777777" w:rsidR="005D314E" w:rsidRPr="00576C3D" w:rsidRDefault="005D314E" w:rsidP="00576C3D">
            <w:r w:rsidRPr="00576C3D">
              <w:t>2523 21 00 – Hvit portlandsement, også kunstig farget</w:t>
            </w:r>
          </w:p>
        </w:tc>
        <w:tc>
          <w:tcPr>
            <w:tcW w:w="4360" w:type="dxa"/>
            <w:tcBorders>
              <w:top w:val="nil"/>
              <w:left w:val="nil"/>
              <w:bottom w:val="nil"/>
              <w:right w:val="nil"/>
            </w:tcBorders>
            <w:tcMar>
              <w:top w:w="128" w:type="dxa"/>
              <w:left w:w="43" w:type="dxa"/>
              <w:bottom w:w="43" w:type="dxa"/>
              <w:right w:w="43" w:type="dxa"/>
            </w:tcMar>
          </w:tcPr>
          <w:p w14:paraId="774F3BBB" w14:textId="77777777" w:rsidR="005D314E" w:rsidRPr="00576C3D" w:rsidRDefault="005D314E" w:rsidP="00576C3D">
            <w:r w:rsidRPr="00576C3D">
              <w:t>Karbondioksid</w:t>
            </w:r>
          </w:p>
        </w:tc>
      </w:tr>
      <w:tr w:rsidR="009D4FD2" w:rsidRPr="00576C3D" w14:paraId="57FCEC37" w14:textId="77777777">
        <w:trPr>
          <w:trHeight w:val="380"/>
        </w:trPr>
        <w:tc>
          <w:tcPr>
            <w:tcW w:w="5220" w:type="dxa"/>
            <w:tcBorders>
              <w:top w:val="nil"/>
              <w:left w:val="nil"/>
              <w:bottom w:val="nil"/>
              <w:right w:val="nil"/>
            </w:tcBorders>
            <w:tcMar>
              <w:top w:w="128" w:type="dxa"/>
              <w:left w:w="43" w:type="dxa"/>
              <w:bottom w:w="43" w:type="dxa"/>
              <w:right w:w="103" w:type="dxa"/>
            </w:tcMar>
          </w:tcPr>
          <w:p w14:paraId="413FAA6D" w14:textId="77777777" w:rsidR="005D314E" w:rsidRPr="00576C3D" w:rsidRDefault="005D314E" w:rsidP="00576C3D">
            <w:r w:rsidRPr="00576C3D">
              <w:t>2523 29 00 – Annen portlandsement</w:t>
            </w:r>
          </w:p>
        </w:tc>
        <w:tc>
          <w:tcPr>
            <w:tcW w:w="4360" w:type="dxa"/>
            <w:tcBorders>
              <w:top w:val="nil"/>
              <w:left w:val="nil"/>
              <w:bottom w:val="nil"/>
              <w:right w:val="nil"/>
            </w:tcBorders>
            <w:tcMar>
              <w:top w:w="128" w:type="dxa"/>
              <w:left w:w="43" w:type="dxa"/>
              <w:bottom w:w="43" w:type="dxa"/>
              <w:right w:w="43" w:type="dxa"/>
            </w:tcMar>
          </w:tcPr>
          <w:p w14:paraId="4279DC15" w14:textId="77777777" w:rsidR="005D314E" w:rsidRPr="00576C3D" w:rsidRDefault="005D314E" w:rsidP="00576C3D">
            <w:r w:rsidRPr="00576C3D">
              <w:t>Karbondioksid</w:t>
            </w:r>
          </w:p>
        </w:tc>
      </w:tr>
      <w:tr w:rsidR="009D4FD2" w:rsidRPr="00576C3D" w14:paraId="7AF6B6F8" w14:textId="77777777">
        <w:trPr>
          <w:trHeight w:val="380"/>
        </w:trPr>
        <w:tc>
          <w:tcPr>
            <w:tcW w:w="5220" w:type="dxa"/>
            <w:tcBorders>
              <w:top w:val="nil"/>
              <w:left w:val="nil"/>
              <w:bottom w:val="nil"/>
              <w:right w:val="nil"/>
            </w:tcBorders>
            <w:tcMar>
              <w:top w:w="128" w:type="dxa"/>
              <w:left w:w="43" w:type="dxa"/>
              <w:bottom w:w="43" w:type="dxa"/>
              <w:right w:w="103" w:type="dxa"/>
            </w:tcMar>
          </w:tcPr>
          <w:p w14:paraId="1CFEEAFA" w14:textId="77777777" w:rsidR="005D314E" w:rsidRPr="00576C3D" w:rsidRDefault="005D314E" w:rsidP="00576C3D">
            <w:r w:rsidRPr="00576C3D">
              <w:t>2523 30 00 – Aluminatsement</w:t>
            </w:r>
          </w:p>
        </w:tc>
        <w:tc>
          <w:tcPr>
            <w:tcW w:w="4360" w:type="dxa"/>
            <w:tcBorders>
              <w:top w:val="nil"/>
              <w:left w:val="nil"/>
              <w:bottom w:val="nil"/>
              <w:right w:val="nil"/>
            </w:tcBorders>
            <w:tcMar>
              <w:top w:w="128" w:type="dxa"/>
              <w:left w:w="43" w:type="dxa"/>
              <w:bottom w:w="43" w:type="dxa"/>
              <w:right w:w="43" w:type="dxa"/>
            </w:tcMar>
          </w:tcPr>
          <w:p w14:paraId="7A8928FF" w14:textId="77777777" w:rsidR="005D314E" w:rsidRPr="00576C3D" w:rsidRDefault="005D314E" w:rsidP="00576C3D">
            <w:r w:rsidRPr="00576C3D">
              <w:t>Karbondioksid</w:t>
            </w:r>
          </w:p>
        </w:tc>
      </w:tr>
      <w:tr w:rsidR="009D4FD2" w:rsidRPr="00576C3D" w14:paraId="638EBC29" w14:textId="77777777">
        <w:trPr>
          <w:trHeight w:val="380"/>
        </w:trPr>
        <w:tc>
          <w:tcPr>
            <w:tcW w:w="5220" w:type="dxa"/>
            <w:tcBorders>
              <w:top w:val="nil"/>
              <w:left w:val="nil"/>
              <w:bottom w:val="single" w:sz="4" w:space="0" w:color="000000"/>
              <w:right w:val="nil"/>
            </w:tcBorders>
            <w:tcMar>
              <w:top w:w="128" w:type="dxa"/>
              <w:left w:w="43" w:type="dxa"/>
              <w:bottom w:w="43" w:type="dxa"/>
              <w:right w:w="103" w:type="dxa"/>
            </w:tcMar>
          </w:tcPr>
          <w:p w14:paraId="65D63D81" w14:textId="77777777" w:rsidR="005D314E" w:rsidRPr="00576C3D" w:rsidRDefault="005D314E" w:rsidP="00576C3D">
            <w:r w:rsidRPr="00576C3D">
              <w:t>2523 90 00 – Annen hydraulisk sement</w:t>
            </w:r>
          </w:p>
        </w:tc>
        <w:tc>
          <w:tcPr>
            <w:tcW w:w="4360" w:type="dxa"/>
            <w:tcBorders>
              <w:top w:val="nil"/>
              <w:left w:val="nil"/>
              <w:bottom w:val="single" w:sz="4" w:space="0" w:color="000000"/>
              <w:right w:val="nil"/>
            </w:tcBorders>
            <w:tcMar>
              <w:top w:w="128" w:type="dxa"/>
              <w:left w:w="43" w:type="dxa"/>
              <w:bottom w:w="43" w:type="dxa"/>
              <w:right w:w="43" w:type="dxa"/>
            </w:tcMar>
          </w:tcPr>
          <w:p w14:paraId="67026FFA" w14:textId="77777777" w:rsidR="005D314E" w:rsidRPr="00576C3D" w:rsidRDefault="005D314E" w:rsidP="00576C3D">
            <w:r w:rsidRPr="00576C3D">
              <w:t>Karbondioksid</w:t>
            </w:r>
          </w:p>
        </w:tc>
      </w:tr>
    </w:tbl>
    <w:p w14:paraId="13AF13D1" w14:textId="77777777" w:rsidR="005D314E" w:rsidRPr="00576C3D" w:rsidRDefault="005D314E" w:rsidP="00576C3D">
      <w:pPr>
        <w:pStyle w:val="Undertittel"/>
      </w:pPr>
      <w:r w:rsidRPr="00576C3D">
        <w:t>Elektrisitet</w:t>
      </w:r>
    </w:p>
    <w:p w14:paraId="3E97E835" w14:textId="77777777" w:rsidR="005D314E" w:rsidRPr="00576C3D" w:rsidRDefault="005D314E" w:rsidP="00576C3D">
      <w:pPr>
        <w:pStyle w:val="Tabellnavn"/>
      </w:pPr>
      <w:r w:rsidRPr="00576C3D">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220"/>
        <w:gridCol w:w="4360"/>
      </w:tblGrid>
      <w:tr w:rsidR="009D4FD2" w:rsidRPr="00576C3D" w14:paraId="3408C642" w14:textId="77777777">
        <w:trPr>
          <w:trHeight w:val="360"/>
        </w:trPr>
        <w:tc>
          <w:tcPr>
            <w:tcW w:w="5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B40455" w14:textId="77777777" w:rsidR="005D314E" w:rsidRPr="00576C3D" w:rsidRDefault="005D314E" w:rsidP="00576C3D">
            <w:r w:rsidRPr="00576C3D">
              <w:t>KN-kode</w:t>
            </w:r>
          </w:p>
        </w:tc>
        <w:tc>
          <w:tcPr>
            <w:tcW w:w="4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170ADE" w14:textId="77777777" w:rsidR="005D314E" w:rsidRPr="00576C3D" w:rsidRDefault="005D314E" w:rsidP="00576C3D">
            <w:r w:rsidRPr="00576C3D">
              <w:t>Klimagass</w:t>
            </w:r>
          </w:p>
        </w:tc>
      </w:tr>
      <w:tr w:rsidR="009D4FD2" w:rsidRPr="00576C3D" w14:paraId="31B5C5A8" w14:textId="77777777">
        <w:trPr>
          <w:trHeight w:val="380"/>
        </w:trPr>
        <w:tc>
          <w:tcPr>
            <w:tcW w:w="5220" w:type="dxa"/>
            <w:tcBorders>
              <w:top w:val="single" w:sz="4" w:space="0" w:color="000000"/>
              <w:left w:val="nil"/>
              <w:bottom w:val="single" w:sz="4" w:space="0" w:color="000000"/>
              <w:right w:val="nil"/>
            </w:tcBorders>
            <w:tcMar>
              <w:top w:w="128" w:type="dxa"/>
              <w:left w:w="43" w:type="dxa"/>
              <w:bottom w:w="43" w:type="dxa"/>
              <w:right w:w="43" w:type="dxa"/>
            </w:tcMar>
          </w:tcPr>
          <w:p w14:paraId="4FAAA320" w14:textId="77777777" w:rsidR="005D314E" w:rsidRPr="00576C3D" w:rsidRDefault="005D314E" w:rsidP="00576C3D">
            <w:r w:rsidRPr="00576C3D">
              <w:t>2716 00 00 – Elektrisk energi</w:t>
            </w:r>
          </w:p>
        </w:tc>
        <w:tc>
          <w:tcPr>
            <w:tcW w:w="4360" w:type="dxa"/>
            <w:tcBorders>
              <w:top w:val="single" w:sz="4" w:space="0" w:color="000000"/>
              <w:left w:val="nil"/>
              <w:bottom w:val="single" w:sz="4" w:space="0" w:color="000000"/>
              <w:right w:val="nil"/>
            </w:tcBorders>
            <w:tcMar>
              <w:top w:w="128" w:type="dxa"/>
              <w:left w:w="43" w:type="dxa"/>
              <w:bottom w:w="43" w:type="dxa"/>
              <w:right w:w="43" w:type="dxa"/>
            </w:tcMar>
          </w:tcPr>
          <w:p w14:paraId="6040D199" w14:textId="77777777" w:rsidR="005D314E" w:rsidRPr="00576C3D" w:rsidRDefault="005D314E" w:rsidP="00576C3D">
            <w:r w:rsidRPr="00576C3D">
              <w:t>Karbondioksid</w:t>
            </w:r>
          </w:p>
        </w:tc>
      </w:tr>
    </w:tbl>
    <w:p w14:paraId="4F8A1486" w14:textId="77777777" w:rsidR="005D314E" w:rsidRPr="00576C3D" w:rsidRDefault="005D314E" w:rsidP="00576C3D">
      <w:pPr>
        <w:pStyle w:val="Undertittel"/>
      </w:pPr>
      <w:r w:rsidRPr="00576C3D">
        <w:t>Gjødsel</w:t>
      </w:r>
    </w:p>
    <w:p w14:paraId="7F423058" w14:textId="77777777" w:rsidR="005D314E" w:rsidRPr="00576C3D" w:rsidRDefault="005D314E" w:rsidP="00576C3D">
      <w:pPr>
        <w:pStyle w:val="Tabellnavn"/>
      </w:pPr>
      <w:r w:rsidRPr="00576C3D">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220"/>
        <w:gridCol w:w="4360"/>
      </w:tblGrid>
      <w:tr w:rsidR="009D4FD2" w:rsidRPr="00576C3D" w14:paraId="09ECEA31" w14:textId="77777777">
        <w:trPr>
          <w:trHeight w:val="360"/>
        </w:trPr>
        <w:tc>
          <w:tcPr>
            <w:tcW w:w="5220" w:type="dxa"/>
            <w:tcBorders>
              <w:top w:val="single" w:sz="4" w:space="0" w:color="000000"/>
              <w:left w:val="nil"/>
              <w:bottom w:val="single" w:sz="4" w:space="0" w:color="000000"/>
              <w:right w:val="nil"/>
            </w:tcBorders>
            <w:tcMar>
              <w:top w:w="128" w:type="dxa"/>
              <w:left w:w="43" w:type="dxa"/>
              <w:bottom w:w="43" w:type="dxa"/>
              <w:right w:w="163" w:type="dxa"/>
            </w:tcMar>
            <w:vAlign w:val="bottom"/>
          </w:tcPr>
          <w:p w14:paraId="29458DBE" w14:textId="77777777" w:rsidR="005D314E" w:rsidRPr="00576C3D" w:rsidRDefault="005D314E" w:rsidP="00576C3D">
            <w:r w:rsidRPr="00576C3D">
              <w:t>KN-kode</w:t>
            </w:r>
          </w:p>
        </w:tc>
        <w:tc>
          <w:tcPr>
            <w:tcW w:w="4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5B698B" w14:textId="77777777" w:rsidR="005D314E" w:rsidRPr="00576C3D" w:rsidRDefault="005D314E" w:rsidP="00576C3D">
            <w:r w:rsidRPr="00576C3D">
              <w:t>Klimagass</w:t>
            </w:r>
          </w:p>
        </w:tc>
      </w:tr>
      <w:tr w:rsidR="009D4FD2" w:rsidRPr="00576C3D" w14:paraId="32B61A20" w14:textId="77777777">
        <w:trPr>
          <w:trHeight w:val="380"/>
        </w:trPr>
        <w:tc>
          <w:tcPr>
            <w:tcW w:w="5220" w:type="dxa"/>
            <w:tcBorders>
              <w:top w:val="single" w:sz="4" w:space="0" w:color="000000"/>
              <w:left w:val="nil"/>
              <w:bottom w:val="nil"/>
              <w:right w:val="nil"/>
            </w:tcBorders>
            <w:tcMar>
              <w:top w:w="128" w:type="dxa"/>
              <w:left w:w="43" w:type="dxa"/>
              <w:bottom w:w="43" w:type="dxa"/>
              <w:right w:w="163" w:type="dxa"/>
            </w:tcMar>
          </w:tcPr>
          <w:p w14:paraId="60E11478" w14:textId="77777777" w:rsidR="005D314E" w:rsidRPr="00576C3D" w:rsidRDefault="005D314E" w:rsidP="00576C3D">
            <w:r w:rsidRPr="00576C3D">
              <w:t xml:space="preserve">2808 00 00 – Salpetersyre, </w:t>
            </w:r>
            <w:proofErr w:type="spellStart"/>
            <w:r w:rsidRPr="00576C3D">
              <w:t>nitrersyrer</w:t>
            </w:r>
            <w:proofErr w:type="spellEnd"/>
          </w:p>
        </w:tc>
        <w:tc>
          <w:tcPr>
            <w:tcW w:w="4360" w:type="dxa"/>
            <w:tcBorders>
              <w:top w:val="single" w:sz="4" w:space="0" w:color="000000"/>
              <w:left w:val="nil"/>
              <w:bottom w:val="nil"/>
              <w:right w:val="nil"/>
            </w:tcBorders>
            <w:tcMar>
              <w:top w:w="128" w:type="dxa"/>
              <w:left w:w="43" w:type="dxa"/>
              <w:bottom w:w="43" w:type="dxa"/>
              <w:right w:w="43" w:type="dxa"/>
            </w:tcMar>
          </w:tcPr>
          <w:p w14:paraId="35DB220D" w14:textId="77777777" w:rsidR="005D314E" w:rsidRPr="00576C3D" w:rsidRDefault="005D314E" w:rsidP="00576C3D">
            <w:r w:rsidRPr="00576C3D">
              <w:t xml:space="preserve">Karbondioksid og </w:t>
            </w:r>
            <w:proofErr w:type="spellStart"/>
            <w:r w:rsidRPr="00576C3D">
              <w:t>dinitrogenoksid</w:t>
            </w:r>
            <w:proofErr w:type="spellEnd"/>
          </w:p>
        </w:tc>
      </w:tr>
      <w:tr w:rsidR="009D4FD2" w:rsidRPr="00576C3D" w14:paraId="07107AC2" w14:textId="77777777">
        <w:trPr>
          <w:trHeight w:val="380"/>
        </w:trPr>
        <w:tc>
          <w:tcPr>
            <w:tcW w:w="5220" w:type="dxa"/>
            <w:tcBorders>
              <w:top w:val="nil"/>
              <w:left w:val="nil"/>
              <w:bottom w:val="nil"/>
              <w:right w:val="nil"/>
            </w:tcBorders>
            <w:tcMar>
              <w:top w:w="128" w:type="dxa"/>
              <w:left w:w="43" w:type="dxa"/>
              <w:bottom w:w="43" w:type="dxa"/>
              <w:right w:w="163" w:type="dxa"/>
            </w:tcMar>
          </w:tcPr>
          <w:p w14:paraId="0F150975" w14:textId="77777777" w:rsidR="005D314E" w:rsidRPr="00576C3D" w:rsidRDefault="005D314E" w:rsidP="00576C3D">
            <w:r w:rsidRPr="00576C3D">
              <w:t>2814 – Ammoniakk, vannfri eller i vandig oppløsning</w:t>
            </w:r>
          </w:p>
        </w:tc>
        <w:tc>
          <w:tcPr>
            <w:tcW w:w="4360" w:type="dxa"/>
            <w:tcBorders>
              <w:top w:val="nil"/>
              <w:left w:val="nil"/>
              <w:bottom w:val="nil"/>
              <w:right w:val="nil"/>
            </w:tcBorders>
            <w:tcMar>
              <w:top w:w="128" w:type="dxa"/>
              <w:left w:w="43" w:type="dxa"/>
              <w:bottom w:w="43" w:type="dxa"/>
              <w:right w:w="43" w:type="dxa"/>
            </w:tcMar>
          </w:tcPr>
          <w:p w14:paraId="35187A16" w14:textId="77777777" w:rsidR="005D314E" w:rsidRPr="00576C3D" w:rsidRDefault="005D314E" w:rsidP="00576C3D">
            <w:r w:rsidRPr="00576C3D">
              <w:t>Karbondioksid</w:t>
            </w:r>
          </w:p>
        </w:tc>
      </w:tr>
      <w:tr w:rsidR="009D4FD2" w:rsidRPr="00576C3D" w14:paraId="184D32AC" w14:textId="77777777">
        <w:trPr>
          <w:trHeight w:val="380"/>
        </w:trPr>
        <w:tc>
          <w:tcPr>
            <w:tcW w:w="5220" w:type="dxa"/>
            <w:tcBorders>
              <w:top w:val="nil"/>
              <w:left w:val="nil"/>
              <w:bottom w:val="nil"/>
              <w:right w:val="nil"/>
            </w:tcBorders>
            <w:tcMar>
              <w:top w:w="128" w:type="dxa"/>
              <w:left w:w="43" w:type="dxa"/>
              <w:bottom w:w="43" w:type="dxa"/>
              <w:right w:w="163" w:type="dxa"/>
            </w:tcMar>
          </w:tcPr>
          <w:p w14:paraId="1E421302" w14:textId="77777777" w:rsidR="005D314E" w:rsidRPr="00576C3D" w:rsidRDefault="005D314E" w:rsidP="00576C3D">
            <w:r w:rsidRPr="00576C3D">
              <w:t>2834 21 00 – Nitrater av kalium</w:t>
            </w:r>
          </w:p>
        </w:tc>
        <w:tc>
          <w:tcPr>
            <w:tcW w:w="4360" w:type="dxa"/>
            <w:tcBorders>
              <w:top w:val="nil"/>
              <w:left w:val="nil"/>
              <w:bottom w:val="nil"/>
              <w:right w:val="nil"/>
            </w:tcBorders>
            <w:tcMar>
              <w:top w:w="128" w:type="dxa"/>
              <w:left w:w="43" w:type="dxa"/>
              <w:bottom w:w="43" w:type="dxa"/>
              <w:right w:w="43" w:type="dxa"/>
            </w:tcMar>
          </w:tcPr>
          <w:p w14:paraId="67E005D9" w14:textId="77777777" w:rsidR="005D314E" w:rsidRPr="00576C3D" w:rsidRDefault="005D314E" w:rsidP="00576C3D">
            <w:r w:rsidRPr="00576C3D">
              <w:t xml:space="preserve">Karbondioksid og </w:t>
            </w:r>
            <w:proofErr w:type="spellStart"/>
            <w:r w:rsidRPr="00576C3D">
              <w:t>dinitrogenoksid</w:t>
            </w:r>
            <w:proofErr w:type="spellEnd"/>
          </w:p>
        </w:tc>
      </w:tr>
      <w:tr w:rsidR="009D4FD2" w:rsidRPr="00576C3D" w14:paraId="7B9E1211" w14:textId="77777777">
        <w:trPr>
          <w:trHeight w:val="380"/>
        </w:trPr>
        <w:tc>
          <w:tcPr>
            <w:tcW w:w="5220" w:type="dxa"/>
            <w:tcBorders>
              <w:top w:val="nil"/>
              <w:left w:val="nil"/>
              <w:bottom w:val="nil"/>
              <w:right w:val="nil"/>
            </w:tcBorders>
            <w:tcMar>
              <w:top w:w="128" w:type="dxa"/>
              <w:left w:w="43" w:type="dxa"/>
              <w:bottom w:w="43" w:type="dxa"/>
              <w:right w:w="163" w:type="dxa"/>
            </w:tcMar>
          </w:tcPr>
          <w:p w14:paraId="649DA5FB" w14:textId="77777777" w:rsidR="005D314E" w:rsidRPr="00576C3D" w:rsidRDefault="005D314E" w:rsidP="00576C3D">
            <w:r w:rsidRPr="00576C3D">
              <w:t>3102 – Nitrogengjødsel, mineralsk eller kjemisk</w:t>
            </w:r>
          </w:p>
        </w:tc>
        <w:tc>
          <w:tcPr>
            <w:tcW w:w="4360" w:type="dxa"/>
            <w:tcBorders>
              <w:top w:val="nil"/>
              <w:left w:val="nil"/>
              <w:bottom w:val="nil"/>
              <w:right w:val="nil"/>
            </w:tcBorders>
            <w:tcMar>
              <w:top w:w="128" w:type="dxa"/>
              <w:left w:w="43" w:type="dxa"/>
              <w:bottom w:w="43" w:type="dxa"/>
              <w:right w:w="43" w:type="dxa"/>
            </w:tcMar>
          </w:tcPr>
          <w:p w14:paraId="0EF5828D" w14:textId="77777777" w:rsidR="005D314E" w:rsidRPr="00576C3D" w:rsidRDefault="005D314E" w:rsidP="00576C3D">
            <w:r w:rsidRPr="00576C3D">
              <w:t xml:space="preserve">Karbondioksid og </w:t>
            </w:r>
            <w:proofErr w:type="spellStart"/>
            <w:r w:rsidRPr="00576C3D">
              <w:t>dinitrogenoksid</w:t>
            </w:r>
            <w:proofErr w:type="spellEnd"/>
          </w:p>
        </w:tc>
      </w:tr>
      <w:tr w:rsidR="009D4FD2" w:rsidRPr="00576C3D" w14:paraId="34B77947" w14:textId="77777777">
        <w:trPr>
          <w:trHeight w:val="1920"/>
        </w:trPr>
        <w:tc>
          <w:tcPr>
            <w:tcW w:w="5220" w:type="dxa"/>
            <w:tcBorders>
              <w:top w:val="nil"/>
              <w:left w:val="nil"/>
              <w:bottom w:val="single" w:sz="4" w:space="0" w:color="000000"/>
              <w:right w:val="nil"/>
            </w:tcBorders>
            <w:tcMar>
              <w:top w:w="128" w:type="dxa"/>
              <w:left w:w="43" w:type="dxa"/>
              <w:bottom w:w="43" w:type="dxa"/>
              <w:right w:w="163" w:type="dxa"/>
            </w:tcMar>
          </w:tcPr>
          <w:p w14:paraId="7A2814E0" w14:textId="77777777" w:rsidR="005D314E" w:rsidRPr="00576C3D" w:rsidRDefault="005D314E" w:rsidP="00576C3D">
            <w:r w:rsidRPr="00576C3D">
              <w:t>3105 – Mineralsk eller kjemisk gjødsel som inneholder to eller tre av gjødselelementene nitrogen, fosfor og kalium; annen gjødsel; varer som hører under dette kapittel, i form av tabletter eller liknende former eller i pakninger med bruttovekt høyst 10 kg</w:t>
            </w:r>
          </w:p>
          <w:p w14:paraId="6EB5DB92" w14:textId="77777777" w:rsidR="005D314E" w:rsidRPr="00576C3D" w:rsidRDefault="005D314E" w:rsidP="00576C3D">
            <w:r w:rsidRPr="00576C3D">
              <w:t>Unntak: 3105 60 00 – Mineralsk eller kjemisk gjødsel med innhold av fosfor og kalium</w:t>
            </w:r>
          </w:p>
        </w:tc>
        <w:tc>
          <w:tcPr>
            <w:tcW w:w="4360" w:type="dxa"/>
            <w:tcBorders>
              <w:top w:val="nil"/>
              <w:left w:val="nil"/>
              <w:bottom w:val="single" w:sz="4" w:space="0" w:color="000000"/>
              <w:right w:val="nil"/>
            </w:tcBorders>
            <w:tcMar>
              <w:top w:w="128" w:type="dxa"/>
              <w:left w:w="43" w:type="dxa"/>
              <w:bottom w:w="43" w:type="dxa"/>
              <w:right w:w="43" w:type="dxa"/>
            </w:tcMar>
          </w:tcPr>
          <w:p w14:paraId="51B5562A" w14:textId="77777777" w:rsidR="005D314E" w:rsidRPr="00576C3D" w:rsidRDefault="005D314E" w:rsidP="00576C3D">
            <w:r w:rsidRPr="00576C3D">
              <w:t xml:space="preserve">Karbondioksid og </w:t>
            </w:r>
            <w:proofErr w:type="spellStart"/>
            <w:r w:rsidRPr="00576C3D">
              <w:t>dinitrogenoksid</w:t>
            </w:r>
            <w:proofErr w:type="spellEnd"/>
          </w:p>
        </w:tc>
      </w:tr>
    </w:tbl>
    <w:p w14:paraId="0C0C4024" w14:textId="77777777" w:rsidR="005D314E" w:rsidRPr="00576C3D" w:rsidRDefault="005D314E" w:rsidP="00576C3D">
      <w:pPr>
        <w:pStyle w:val="Undertittel"/>
      </w:pPr>
      <w:r w:rsidRPr="00576C3D">
        <w:t>Jern og stål</w:t>
      </w:r>
    </w:p>
    <w:p w14:paraId="4D056F2F" w14:textId="77777777" w:rsidR="005D314E" w:rsidRPr="00576C3D" w:rsidRDefault="005D314E" w:rsidP="00576C3D">
      <w:pPr>
        <w:pStyle w:val="Tabellnavn"/>
      </w:pPr>
      <w:r w:rsidRPr="00576C3D">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220"/>
        <w:gridCol w:w="4360"/>
      </w:tblGrid>
      <w:tr w:rsidR="009D4FD2" w:rsidRPr="00576C3D" w14:paraId="0D87839D" w14:textId="77777777">
        <w:trPr>
          <w:trHeight w:val="360"/>
        </w:trPr>
        <w:tc>
          <w:tcPr>
            <w:tcW w:w="5220" w:type="dxa"/>
            <w:tcBorders>
              <w:top w:val="single" w:sz="4" w:space="0" w:color="000000"/>
              <w:left w:val="nil"/>
              <w:bottom w:val="single" w:sz="4" w:space="0" w:color="000000"/>
              <w:right w:val="nil"/>
            </w:tcBorders>
            <w:tcMar>
              <w:top w:w="128" w:type="dxa"/>
              <w:left w:w="43" w:type="dxa"/>
              <w:bottom w:w="43" w:type="dxa"/>
              <w:right w:w="163" w:type="dxa"/>
            </w:tcMar>
            <w:vAlign w:val="bottom"/>
          </w:tcPr>
          <w:p w14:paraId="64872A33" w14:textId="77777777" w:rsidR="005D314E" w:rsidRPr="00576C3D" w:rsidRDefault="005D314E" w:rsidP="00576C3D">
            <w:r w:rsidRPr="00576C3D">
              <w:t>KN-kode</w:t>
            </w:r>
          </w:p>
        </w:tc>
        <w:tc>
          <w:tcPr>
            <w:tcW w:w="4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6AD559" w14:textId="77777777" w:rsidR="005D314E" w:rsidRPr="00576C3D" w:rsidRDefault="005D314E" w:rsidP="00576C3D">
            <w:r w:rsidRPr="00576C3D">
              <w:t>Klimagass</w:t>
            </w:r>
          </w:p>
        </w:tc>
      </w:tr>
      <w:tr w:rsidR="009D4FD2" w:rsidRPr="00576C3D" w14:paraId="3E0D190B" w14:textId="77777777">
        <w:trPr>
          <w:trHeight w:val="4220"/>
        </w:trPr>
        <w:tc>
          <w:tcPr>
            <w:tcW w:w="5220" w:type="dxa"/>
            <w:tcBorders>
              <w:top w:val="single" w:sz="4" w:space="0" w:color="000000"/>
              <w:left w:val="nil"/>
              <w:bottom w:val="nil"/>
              <w:right w:val="nil"/>
            </w:tcBorders>
            <w:tcMar>
              <w:top w:w="128" w:type="dxa"/>
              <w:left w:w="43" w:type="dxa"/>
              <w:bottom w:w="43" w:type="dxa"/>
              <w:right w:w="163" w:type="dxa"/>
            </w:tcMar>
          </w:tcPr>
          <w:p w14:paraId="22D0CE11" w14:textId="77777777" w:rsidR="005D314E" w:rsidRPr="00576C3D" w:rsidRDefault="005D314E" w:rsidP="00576C3D">
            <w:r w:rsidRPr="00576C3D">
              <w:t>72 – Jern og stål</w:t>
            </w:r>
          </w:p>
          <w:p w14:paraId="3F7E2636" w14:textId="77777777" w:rsidR="005D314E" w:rsidRPr="00576C3D" w:rsidRDefault="005D314E" w:rsidP="00576C3D">
            <w:r w:rsidRPr="00576C3D">
              <w:t>Unntak:</w:t>
            </w:r>
          </w:p>
          <w:p w14:paraId="658CBCC2" w14:textId="77777777" w:rsidR="005D314E" w:rsidRPr="00576C3D" w:rsidRDefault="005D314E" w:rsidP="00576C3D">
            <w:r w:rsidRPr="00576C3D">
              <w:t>7202 2 – Ferrosilisium</w:t>
            </w:r>
          </w:p>
          <w:p w14:paraId="633241D4" w14:textId="77777777" w:rsidR="005D314E" w:rsidRPr="00576C3D" w:rsidRDefault="005D314E" w:rsidP="00576C3D">
            <w:r w:rsidRPr="00576C3D">
              <w:t xml:space="preserve">7202 30 00 – </w:t>
            </w:r>
            <w:proofErr w:type="spellStart"/>
            <w:r w:rsidRPr="00576C3D">
              <w:t>Ferrosilikomangan</w:t>
            </w:r>
            <w:proofErr w:type="spellEnd"/>
          </w:p>
          <w:p w14:paraId="1A145CAD" w14:textId="77777777" w:rsidR="005D314E" w:rsidRPr="00576C3D" w:rsidRDefault="005D314E" w:rsidP="00576C3D">
            <w:r w:rsidRPr="00576C3D">
              <w:t xml:space="preserve">7202 50 00 – </w:t>
            </w:r>
            <w:proofErr w:type="spellStart"/>
            <w:r w:rsidRPr="00576C3D">
              <w:t>Ferrosilikokrom</w:t>
            </w:r>
            <w:proofErr w:type="spellEnd"/>
          </w:p>
          <w:p w14:paraId="1A341997" w14:textId="77777777" w:rsidR="005D314E" w:rsidRPr="00576C3D" w:rsidRDefault="005D314E" w:rsidP="00576C3D">
            <w:r w:rsidRPr="00576C3D">
              <w:t>7202 70 00 – Ferromolybden</w:t>
            </w:r>
          </w:p>
          <w:p w14:paraId="5BC666EF" w14:textId="77777777" w:rsidR="005D314E" w:rsidRPr="00576C3D" w:rsidRDefault="005D314E" w:rsidP="00576C3D">
            <w:r w:rsidRPr="00576C3D">
              <w:t xml:space="preserve">7202 80 00 – Ferrowolfram og </w:t>
            </w:r>
            <w:proofErr w:type="spellStart"/>
            <w:r w:rsidRPr="00576C3D">
              <w:t>ferrosilikowolfram</w:t>
            </w:r>
            <w:proofErr w:type="spellEnd"/>
          </w:p>
          <w:p w14:paraId="6567B7B0" w14:textId="77777777" w:rsidR="005D314E" w:rsidRPr="00576C3D" w:rsidRDefault="005D314E" w:rsidP="00576C3D">
            <w:r w:rsidRPr="00576C3D">
              <w:t xml:space="preserve">7202 91 00 – Ferrotitan og </w:t>
            </w:r>
            <w:proofErr w:type="spellStart"/>
            <w:r w:rsidRPr="00576C3D">
              <w:t>ferrosilikotitan</w:t>
            </w:r>
            <w:proofErr w:type="spellEnd"/>
          </w:p>
          <w:p w14:paraId="56FEC51C" w14:textId="77777777" w:rsidR="005D314E" w:rsidRPr="00576C3D" w:rsidRDefault="005D314E" w:rsidP="00576C3D">
            <w:r w:rsidRPr="00576C3D">
              <w:t>7202 92 00 – Ferrovanadium</w:t>
            </w:r>
          </w:p>
          <w:p w14:paraId="06DCABC7" w14:textId="77777777" w:rsidR="005D314E" w:rsidRPr="00576C3D" w:rsidRDefault="005D314E" w:rsidP="00576C3D">
            <w:r w:rsidRPr="00576C3D">
              <w:t>7202 93 00 – Ferroniob</w:t>
            </w:r>
          </w:p>
          <w:p w14:paraId="5AB69448" w14:textId="77777777" w:rsidR="005D314E" w:rsidRPr="00576C3D" w:rsidRDefault="005D314E" w:rsidP="00576C3D">
            <w:r w:rsidRPr="00576C3D">
              <w:t>7202 99 – Annet:</w:t>
            </w:r>
          </w:p>
          <w:p w14:paraId="296387B1" w14:textId="77777777" w:rsidR="005D314E" w:rsidRPr="00576C3D" w:rsidRDefault="005D314E" w:rsidP="00576C3D">
            <w:r w:rsidRPr="00576C3D">
              <w:t>7202 99 10 – Ferrofosfor</w:t>
            </w:r>
          </w:p>
          <w:p w14:paraId="6A595C9A" w14:textId="77777777" w:rsidR="005D314E" w:rsidRPr="00576C3D" w:rsidRDefault="005D314E" w:rsidP="00576C3D">
            <w:r w:rsidRPr="00576C3D">
              <w:t xml:space="preserve">7202 99 30 – </w:t>
            </w:r>
            <w:proofErr w:type="spellStart"/>
            <w:r w:rsidRPr="00576C3D">
              <w:t>Ferrosilikomagnesium</w:t>
            </w:r>
            <w:proofErr w:type="spellEnd"/>
          </w:p>
          <w:p w14:paraId="01426ED8" w14:textId="77777777" w:rsidR="005D314E" w:rsidRPr="00576C3D" w:rsidRDefault="005D314E" w:rsidP="00576C3D">
            <w:r w:rsidRPr="00576C3D">
              <w:t>7202 99 80 – Andre</w:t>
            </w:r>
          </w:p>
          <w:p w14:paraId="6CA30159" w14:textId="77777777" w:rsidR="005D314E" w:rsidRPr="00576C3D" w:rsidRDefault="005D314E" w:rsidP="00576C3D">
            <w:r w:rsidRPr="00576C3D">
              <w:t xml:space="preserve">7204 – Avfall og skrap av jern og stål; </w:t>
            </w:r>
            <w:proofErr w:type="spellStart"/>
            <w:r w:rsidRPr="00576C3D">
              <w:t>støpeblokker</w:t>
            </w:r>
            <w:proofErr w:type="spellEnd"/>
            <w:r w:rsidRPr="00576C3D">
              <w:t xml:space="preserve"> framstilt ved omsmelting av skrap av jern eller stål</w:t>
            </w:r>
          </w:p>
        </w:tc>
        <w:tc>
          <w:tcPr>
            <w:tcW w:w="4360" w:type="dxa"/>
            <w:tcBorders>
              <w:top w:val="single" w:sz="4" w:space="0" w:color="000000"/>
              <w:left w:val="nil"/>
              <w:bottom w:val="nil"/>
              <w:right w:val="nil"/>
            </w:tcBorders>
            <w:tcMar>
              <w:top w:w="128" w:type="dxa"/>
              <w:left w:w="43" w:type="dxa"/>
              <w:bottom w:w="43" w:type="dxa"/>
              <w:right w:w="43" w:type="dxa"/>
            </w:tcMar>
          </w:tcPr>
          <w:p w14:paraId="4477ABF8" w14:textId="77777777" w:rsidR="005D314E" w:rsidRPr="00576C3D" w:rsidRDefault="005D314E" w:rsidP="00576C3D">
            <w:r w:rsidRPr="00576C3D">
              <w:t>Karbondioksid</w:t>
            </w:r>
          </w:p>
        </w:tc>
      </w:tr>
      <w:tr w:rsidR="009D4FD2" w:rsidRPr="00576C3D" w14:paraId="1B5D4781" w14:textId="77777777">
        <w:trPr>
          <w:trHeight w:val="640"/>
        </w:trPr>
        <w:tc>
          <w:tcPr>
            <w:tcW w:w="5220" w:type="dxa"/>
            <w:tcBorders>
              <w:top w:val="nil"/>
              <w:left w:val="nil"/>
              <w:bottom w:val="nil"/>
              <w:right w:val="nil"/>
            </w:tcBorders>
            <w:tcMar>
              <w:top w:w="128" w:type="dxa"/>
              <w:left w:w="43" w:type="dxa"/>
              <w:bottom w:w="43" w:type="dxa"/>
              <w:right w:w="163" w:type="dxa"/>
            </w:tcMar>
          </w:tcPr>
          <w:p w14:paraId="17868D92" w14:textId="77777777" w:rsidR="005D314E" w:rsidRPr="00576C3D" w:rsidRDefault="005D314E" w:rsidP="00576C3D">
            <w:r w:rsidRPr="00576C3D">
              <w:t>2601 12 00 – Agglomerert jernmalm, også konsentrert, unntatt røstet svovelkis</w:t>
            </w:r>
          </w:p>
        </w:tc>
        <w:tc>
          <w:tcPr>
            <w:tcW w:w="4360" w:type="dxa"/>
            <w:tcBorders>
              <w:top w:val="nil"/>
              <w:left w:val="nil"/>
              <w:bottom w:val="nil"/>
              <w:right w:val="nil"/>
            </w:tcBorders>
            <w:tcMar>
              <w:top w:w="128" w:type="dxa"/>
              <w:left w:w="43" w:type="dxa"/>
              <w:bottom w:w="43" w:type="dxa"/>
              <w:right w:w="43" w:type="dxa"/>
            </w:tcMar>
          </w:tcPr>
          <w:p w14:paraId="1FF1D3F6" w14:textId="77777777" w:rsidR="005D314E" w:rsidRPr="00576C3D" w:rsidRDefault="005D314E" w:rsidP="00576C3D">
            <w:r w:rsidRPr="00576C3D">
              <w:t>Karbondioksid</w:t>
            </w:r>
          </w:p>
        </w:tc>
      </w:tr>
      <w:tr w:rsidR="009D4FD2" w:rsidRPr="00576C3D" w14:paraId="0AF58D33" w14:textId="77777777">
        <w:trPr>
          <w:trHeight w:val="640"/>
        </w:trPr>
        <w:tc>
          <w:tcPr>
            <w:tcW w:w="5220" w:type="dxa"/>
            <w:tcBorders>
              <w:top w:val="nil"/>
              <w:left w:val="nil"/>
              <w:bottom w:val="nil"/>
              <w:right w:val="nil"/>
            </w:tcBorders>
            <w:tcMar>
              <w:top w:w="128" w:type="dxa"/>
              <w:left w:w="43" w:type="dxa"/>
              <w:bottom w:w="43" w:type="dxa"/>
              <w:right w:w="163" w:type="dxa"/>
            </w:tcMar>
          </w:tcPr>
          <w:p w14:paraId="648CF01C" w14:textId="77777777" w:rsidR="005D314E" w:rsidRPr="00576C3D" w:rsidRDefault="005D314E" w:rsidP="00576C3D">
            <w:r w:rsidRPr="00576C3D">
              <w:t xml:space="preserve">7301 – </w:t>
            </w:r>
            <w:proofErr w:type="spellStart"/>
            <w:r w:rsidRPr="00576C3D">
              <w:t>Spundveggjern</w:t>
            </w:r>
            <w:proofErr w:type="spellEnd"/>
            <w:r w:rsidRPr="00576C3D">
              <w:t xml:space="preserve"> av jern eller stål, også med hull eller sammensatte; sveisede profiler av jern eller stål</w:t>
            </w:r>
          </w:p>
        </w:tc>
        <w:tc>
          <w:tcPr>
            <w:tcW w:w="4360" w:type="dxa"/>
            <w:tcBorders>
              <w:top w:val="nil"/>
              <w:left w:val="nil"/>
              <w:bottom w:val="nil"/>
              <w:right w:val="nil"/>
            </w:tcBorders>
            <w:tcMar>
              <w:top w:w="128" w:type="dxa"/>
              <w:left w:w="43" w:type="dxa"/>
              <w:bottom w:w="43" w:type="dxa"/>
              <w:right w:w="43" w:type="dxa"/>
            </w:tcMar>
          </w:tcPr>
          <w:p w14:paraId="0DE4509F" w14:textId="77777777" w:rsidR="005D314E" w:rsidRPr="00576C3D" w:rsidRDefault="005D314E" w:rsidP="00576C3D">
            <w:r w:rsidRPr="00576C3D">
              <w:t>Karbondioksid</w:t>
            </w:r>
          </w:p>
        </w:tc>
      </w:tr>
      <w:tr w:rsidR="009D4FD2" w:rsidRPr="00576C3D" w14:paraId="3475DC9F" w14:textId="77777777">
        <w:trPr>
          <w:trHeight w:val="1920"/>
        </w:trPr>
        <w:tc>
          <w:tcPr>
            <w:tcW w:w="5220" w:type="dxa"/>
            <w:tcBorders>
              <w:top w:val="nil"/>
              <w:left w:val="nil"/>
              <w:bottom w:val="nil"/>
              <w:right w:val="nil"/>
            </w:tcBorders>
            <w:tcMar>
              <w:top w:w="128" w:type="dxa"/>
              <w:left w:w="43" w:type="dxa"/>
              <w:bottom w:w="43" w:type="dxa"/>
              <w:right w:w="163" w:type="dxa"/>
            </w:tcMar>
          </w:tcPr>
          <w:p w14:paraId="0936A22A" w14:textId="7ACEC43F" w:rsidR="005D314E" w:rsidRPr="00576C3D" w:rsidRDefault="005D314E" w:rsidP="00576C3D">
            <w:r w:rsidRPr="00576C3D">
              <w:t xml:space="preserve">7302 – Følgende skinnemateriell av jern eller stål, til jernbaner eller sporveger: skinner, motskinner og tannskinner, sporvekseltunger, sporkryss, sporvekselstag og andre deler til sporveksler, sviller, lasker, </w:t>
            </w:r>
            <w:proofErr w:type="spellStart"/>
            <w:r w:rsidRPr="00576C3D">
              <w:t>skinnestoler</w:t>
            </w:r>
            <w:proofErr w:type="spellEnd"/>
            <w:r w:rsidRPr="00576C3D">
              <w:t xml:space="preserve">, </w:t>
            </w:r>
            <w:proofErr w:type="spellStart"/>
            <w:r w:rsidRPr="00576C3D">
              <w:t>stolkiler</w:t>
            </w:r>
            <w:proofErr w:type="spellEnd"/>
            <w:r w:rsidRPr="00576C3D">
              <w:t>, underlagsplater, klemplater, traversjern og annet spesielt materiell til sammenføyning eller festing av skinner</w:t>
            </w:r>
          </w:p>
        </w:tc>
        <w:tc>
          <w:tcPr>
            <w:tcW w:w="4360" w:type="dxa"/>
            <w:tcBorders>
              <w:top w:val="nil"/>
              <w:left w:val="nil"/>
              <w:bottom w:val="nil"/>
              <w:right w:val="nil"/>
            </w:tcBorders>
            <w:tcMar>
              <w:top w:w="128" w:type="dxa"/>
              <w:left w:w="43" w:type="dxa"/>
              <w:bottom w:w="43" w:type="dxa"/>
              <w:right w:w="43" w:type="dxa"/>
            </w:tcMar>
          </w:tcPr>
          <w:p w14:paraId="0FF7E76C" w14:textId="77777777" w:rsidR="005D314E" w:rsidRPr="00576C3D" w:rsidRDefault="005D314E" w:rsidP="00576C3D">
            <w:r w:rsidRPr="00576C3D">
              <w:t>Karbondioksid</w:t>
            </w:r>
          </w:p>
        </w:tc>
      </w:tr>
      <w:tr w:rsidR="009D4FD2" w:rsidRPr="00576C3D" w14:paraId="0A84C882" w14:textId="77777777">
        <w:trPr>
          <w:trHeight w:val="640"/>
        </w:trPr>
        <w:tc>
          <w:tcPr>
            <w:tcW w:w="5220" w:type="dxa"/>
            <w:tcBorders>
              <w:top w:val="nil"/>
              <w:left w:val="nil"/>
              <w:bottom w:val="nil"/>
              <w:right w:val="nil"/>
            </w:tcBorders>
            <w:tcMar>
              <w:top w:w="128" w:type="dxa"/>
              <w:left w:w="43" w:type="dxa"/>
              <w:bottom w:w="43" w:type="dxa"/>
              <w:right w:w="163" w:type="dxa"/>
            </w:tcMar>
          </w:tcPr>
          <w:p w14:paraId="289D970E" w14:textId="48BB1840" w:rsidR="005D314E" w:rsidRPr="00576C3D" w:rsidRDefault="005D314E" w:rsidP="00576C3D">
            <w:r w:rsidRPr="00576C3D">
              <w:t>7303 00 – Rør, rørledninger og hule profiler av støpejern</w:t>
            </w:r>
          </w:p>
        </w:tc>
        <w:tc>
          <w:tcPr>
            <w:tcW w:w="4360" w:type="dxa"/>
            <w:tcBorders>
              <w:top w:val="nil"/>
              <w:left w:val="nil"/>
              <w:bottom w:val="nil"/>
              <w:right w:val="nil"/>
            </w:tcBorders>
            <w:tcMar>
              <w:top w:w="128" w:type="dxa"/>
              <w:left w:w="43" w:type="dxa"/>
              <w:bottom w:w="43" w:type="dxa"/>
              <w:right w:w="43" w:type="dxa"/>
            </w:tcMar>
          </w:tcPr>
          <w:p w14:paraId="40B8BF04" w14:textId="77777777" w:rsidR="005D314E" w:rsidRPr="00576C3D" w:rsidRDefault="005D314E" w:rsidP="00576C3D">
            <w:r w:rsidRPr="00576C3D">
              <w:t>Karbondioksid</w:t>
            </w:r>
          </w:p>
        </w:tc>
      </w:tr>
      <w:tr w:rsidR="009D4FD2" w:rsidRPr="00576C3D" w14:paraId="17275DC2" w14:textId="77777777">
        <w:trPr>
          <w:trHeight w:val="640"/>
        </w:trPr>
        <w:tc>
          <w:tcPr>
            <w:tcW w:w="5220" w:type="dxa"/>
            <w:tcBorders>
              <w:top w:val="nil"/>
              <w:left w:val="nil"/>
              <w:bottom w:val="nil"/>
              <w:right w:val="nil"/>
            </w:tcBorders>
            <w:tcMar>
              <w:top w:w="128" w:type="dxa"/>
              <w:left w:w="43" w:type="dxa"/>
              <w:bottom w:w="43" w:type="dxa"/>
              <w:right w:w="163" w:type="dxa"/>
            </w:tcMar>
          </w:tcPr>
          <w:p w14:paraId="230CE4B7" w14:textId="694B8CA9" w:rsidR="005D314E" w:rsidRPr="00576C3D" w:rsidRDefault="005D314E" w:rsidP="00576C3D">
            <w:r w:rsidRPr="00576C3D">
              <w:t>7304 – Rør og hule profiler, sømløse, av jern (unntatt støpejern) eller stål</w:t>
            </w:r>
          </w:p>
        </w:tc>
        <w:tc>
          <w:tcPr>
            <w:tcW w:w="4360" w:type="dxa"/>
            <w:tcBorders>
              <w:top w:val="nil"/>
              <w:left w:val="nil"/>
              <w:bottom w:val="nil"/>
              <w:right w:val="nil"/>
            </w:tcBorders>
            <w:tcMar>
              <w:top w:w="128" w:type="dxa"/>
              <w:left w:w="43" w:type="dxa"/>
              <w:bottom w:w="43" w:type="dxa"/>
              <w:right w:w="43" w:type="dxa"/>
            </w:tcMar>
          </w:tcPr>
          <w:p w14:paraId="40AF10E1" w14:textId="77777777" w:rsidR="005D314E" w:rsidRPr="00576C3D" w:rsidRDefault="005D314E" w:rsidP="00576C3D">
            <w:r w:rsidRPr="00576C3D">
              <w:t>Karbondioksid</w:t>
            </w:r>
          </w:p>
        </w:tc>
      </w:tr>
      <w:tr w:rsidR="009D4FD2" w:rsidRPr="00576C3D" w14:paraId="42F5C926" w14:textId="77777777">
        <w:trPr>
          <w:trHeight w:val="880"/>
        </w:trPr>
        <w:tc>
          <w:tcPr>
            <w:tcW w:w="5220" w:type="dxa"/>
            <w:tcBorders>
              <w:top w:val="nil"/>
              <w:left w:val="nil"/>
              <w:bottom w:val="nil"/>
              <w:right w:val="nil"/>
            </w:tcBorders>
            <w:tcMar>
              <w:top w:w="128" w:type="dxa"/>
              <w:left w:w="43" w:type="dxa"/>
              <w:bottom w:w="43" w:type="dxa"/>
              <w:right w:w="163" w:type="dxa"/>
            </w:tcMar>
          </w:tcPr>
          <w:p w14:paraId="5C44A308" w14:textId="77777777" w:rsidR="005D314E" w:rsidRPr="00576C3D" w:rsidRDefault="005D314E" w:rsidP="00576C3D">
            <w:r w:rsidRPr="00576C3D">
              <w:t>7305 – Andre rør (f.eks. sveisede, naglede eller falsede), med sirkelrunde tverrsnitt og med ytre diameter over 406,4 mm, av jern eller stål</w:t>
            </w:r>
          </w:p>
        </w:tc>
        <w:tc>
          <w:tcPr>
            <w:tcW w:w="4360" w:type="dxa"/>
            <w:tcBorders>
              <w:top w:val="nil"/>
              <w:left w:val="nil"/>
              <w:bottom w:val="nil"/>
              <w:right w:val="nil"/>
            </w:tcBorders>
            <w:tcMar>
              <w:top w:w="128" w:type="dxa"/>
              <w:left w:w="43" w:type="dxa"/>
              <w:bottom w:w="43" w:type="dxa"/>
              <w:right w:w="43" w:type="dxa"/>
            </w:tcMar>
          </w:tcPr>
          <w:p w14:paraId="502F55A7" w14:textId="77777777" w:rsidR="005D314E" w:rsidRPr="00576C3D" w:rsidRDefault="005D314E" w:rsidP="00576C3D">
            <w:r w:rsidRPr="00576C3D">
              <w:t>Karbondioksid</w:t>
            </w:r>
          </w:p>
        </w:tc>
      </w:tr>
      <w:tr w:rsidR="009D4FD2" w:rsidRPr="00576C3D" w14:paraId="0AB587D3" w14:textId="77777777">
        <w:trPr>
          <w:trHeight w:val="640"/>
        </w:trPr>
        <w:tc>
          <w:tcPr>
            <w:tcW w:w="5220" w:type="dxa"/>
            <w:tcBorders>
              <w:top w:val="nil"/>
              <w:left w:val="nil"/>
              <w:bottom w:val="nil"/>
              <w:right w:val="nil"/>
            </w:tcBorders>
            <w:tcMar>
              <w:top w:w="128" w:type="dxa"/>
              <w:left w:w="43" w:type="dxa"/>
              <w:bottom w:w="43" w:type="dxa"/>
              <w:right w:w="163" w:type="dxa"/>
            </w:tcMar>
          </w:tcPr>
          <w:p w14:paraId="6A329CB4" w14:textId="77777777" w:rsidR="005D314E" w:rsidRPr="00576C3D" w:rsidRDefault="005D314E" w:rsidP="00576C3D">
            <w:r w:rsidRPr="00576C3D">
              <w:t>7306 – Andre rør og hule profiler (f.eks. med åpen søm, sveisede, naglede eller falsede), av jern eller stål</w:t>
            </w:r>
          </w:p>
        </w:tc>
        <w:tc>
          <w:tcPr>
            <w:tcW w:w="4360" w:type="dxa"/>
            <w:tcBorders>
              <w:top w:val="nil"/>
              <w:left w:val="nil"/>
              <w:bottom w:val="nil"/>
              <w:right w:val="nil"/>
            </w:tcBorders>
            <w:tcMar>
              <w:top w:w="128" w:type="dxa"/>
              <w:left w:w="43" w:type="dxa"/>
              <w:bottom w:w="43" w:type="dxa"/>
              <w:right w:w="43" w:type="dxa"/>
            </w:tcMar>
          </w:tcPr>
          <w:p w14:paraId="32B2A6CB" w14:textId="77777777" w:rsidR="005D314E" w:rsidRPr="00576C3D" w:rsidRDefault="005D314E" w:rsidP="00576C3D">
            <w:r w:rsidRPr="00576C3D">
              <w:t>Karbondioksid</w:t>
            </w:r>
          </w:p>
        </w:tc>
      </w:tr>
      <w:tr w:rsidR="009D4FD2" w:rsidRPr="00576C3D" w14:paraId="0DDB1DB3" w14:textId="77777777">
        <w:trPr>
          <w:trHeight w:val="640"/>
        </w:trPr>
        <w:tc>
          <w:tcPr>
            <w:tcW w:w="5220" w:type="dxa"/>
            <w:tcBorders>
              <w:top w:val="nil"/>
              <w:left w:val="nil"/>
              <w:bottom w:val="nil"/>
              <w:right w:val="nil"/>
            </w:tcBorders>
            <w:tcMar>
              <w:top w:w="128" w:type="dxa"/>
              <w:left w:w="43" w:type="dxa"/>
              <w:bottom w:w="43" w:type="dxa"/>
              <w:right w:w="163" w:type="dxa"/>
            </w:tcMar>
          </w:tcPr>
          <w:p w14:paraId="71286777" w14:textId="77777777" w:rsidR="005D314E" w:rsidRPr="00576C3D" w:rsidRDefault="005D314E" w:rsidP="00576C3D">
            <w:r w:rsidRPr="00576C3D">
              <w:t>7307 – Rørdeler (fittings) (f.eks. forbindelsesstykker, knær, muffer), av jern eller stål</w:t>
            </w:r>
          </w:p>
        </w:tc>
        <w:tc>
          <w:tcPr>
            <w:tcW w:w="4360" w:type="dxa"/>
            <w:tcBorders>
              <w:top w:val="nil"/>
              <w:left w:val="nil"/>
              <w:bottom w:val="nil"/>
              <w:right w:val="nil"/>
            </w:tcBorders>
            <w:tcMar>
              <w:top w:w="128" w:type="dxa"/>
              <w:left w:w="43" w:type="dxa"/>
              <w:bottom w:w="43" w:type="dxa"/>
              <w:right w:w="43" w:type="dxa"/>
            </w:tcMar>
          </w:tcPr>
          <w:p w14:paraId="36163AD0" w14:textId="77777777" w:rsidR="005D314E" w:rsidRPr="00576C3D" w:rsidRDefault="005D314E" w:rsidP="00576C3D">
            <w:r w:rsidRPr="00576C3D">
              <w:t>Karbondioksid</w:t>
            </w:r>
          </w:p>
        </w:tc>
      </w:tr>
      <w:tr w:rsidR="009D4FD2" w:rsidRPr="00576C3D" w14:paraId="78AC79A4" w14:textId="77777777">
        <w:trPr>
          <w:trHeight w:val="2160"/>
        </w:trPr>
        <w:tc>
          <w:tcPr>
            <w:tcW w:w="5220" w:type="dxa"/>
            <w:tcBorders>
              <w:top w:val="nil"/>
              <w:left w:val="nil"/>
              <w:bottom w:val="nil"/>
              <w:right w:val="nil"/>
            </w:tcBorders>
            <w:tcMar>
              <w:top w:w="128" w:type="dxa"/>
              <w:left w:w="43" w:type="dxa"/>
              <w:bottom w:w="43" w:type="dxa"/>
              <w:right w:w="163" w:type="dxa"/>
            </w:tcMar>
          </w:tcPr>
          <w:p w14:paraId="2A0F113A" w14:textId="5BFE6023" w:rsidR="005D314E" w:rsidRPr="00576C3D" w:rsidRDefault="005D314E" w:rsidP="00576C3D">
            <w:r w:rsidRPr="00576C3D">
              <w:t>7308 – Jern- og stålkonstruksjoner (unntatt prefabrikkerte bygninger som hører under posisjon 94.06) og deler dertil (f.eks. bruer og bruseksjoner, sluseporter, tårn, master, tak, taksperrer, dører og vinduer samt rammer og karmer dertil og dørterskler, skodder, rekkverk, søyler og pilarer), av jern eller stål; plater, stenger, profiler, rør og liknende av jern eller stål, bearbeidde til bruk i konstruksjoner</w:t>
            </w:r>
          </w:p>
        </w:tc>
        <w:tc>
          <w:tcPr>
            <w:tcW w:w="4360" w:type="dxa"/>
            <w:tcBorders>
              <w:top w:val="nil"/>
              <w:left w:val="nil"/>
              <w:bottom w:val="nil"/>
              <w:right w:val="nil"/>
            </w:tcBorders>
            <w:tcMar>
              <w:top w:w="128" w:type="dxa"/>
              <w:left w:w="43" w:type="dxa"/>
              <w:bottom w:w="43" w:type="dxa"/>
              <w:right w:w="43" w:type="dxa"/>
            </w:tcMar>
          </w:tcPr>
          <w:p w14:paraId="1F14B690" w14:textId="77777777" w:rsidR="005D314E" w:rsidRPr="00576C3D" w:rsidRDefault="005D314E" w:rsidP="00576C3D">
            <w:r w:rsidRPr="00576C3D">
              <w:t>Karbondioksid</w:t>
            </w:r>
          </w:p>
        </w:tc>
      </w:tr>
      <w:tr w:rsidR="009D4FD2" w:rsidRPr="00576C3D" w14:paraId="2890EE27" w14:textId="77777777">
        <w:trPr>
          <w:trHeight w:val="1400"/>
        </w:trPr>
        <w:tc>
          <w:tcPr>
            <w:tcW w:w="5220" w:type="dxa"/>
            <w:tcBorders>
              <w:top w:val="nil"/>
              <w:left w:val="nil"/>
              <w:bottom w:val="nil"/>
              <w:right w:val="nil"/>
            </w:tcBorders>
            <w:tcMar>
              <w:top w:w="128" w:type="dxa"/>
              <w:left w:w="43" w:type="dxa"/>
              <w:bottom w:w="43" w:type="dxa"/>
              <w:right w:w="163" w:type="dxa"/>
            </w:tcMar>
          </w:tcPr>
          <w:p w14:paraId="0BC385C9" w14:textId="77777777" w:rsidR="005D314E" w:rsidRPr="00576C3D" w:rsidRDefault="005D314E" w:rsidP="00576C3D">
            <w:r w:rsidRPr="00576C3D">
              <w:t>7309 00 – Tanker, kar og lignende beholdere, av jern eller stål, for ethvert materiale (unntatt beholdere for komprimerte eller flytende gasser) med kapasitet over 300 liter, også fôret eller varmeisolert, men uten mekanisk eller termisk utstyr</w:t>
            </w:r>
          </w:p>
        </w:tc>
        <w:tc>
          <w:tcPr>
            <w:tcW w:w="4360" w:type="dxa"/>
            <w:tcBorders>
              <w:top w:val="nil"/>
              <w:left w:val="nil"/>
              <w:bottom w:val="nil"/>
              <w:right w:val="nil"/>
            </w:tcBorders>
            <w:tcMar>
              <w:top w:w="128" w:type="dxa"/>
              <w:left w:w="43" w:type="dxa"/>
              <w:bottom w:w="43" w:type="dxa"/>
              <w:right w:w="43" w:type="dxa"/>
            </w:tcMar>
          </w:tcPr>
          <w:p w14:paraId="66F03793" w14:textId="77777777" w:rsidR="005D314E" w:rsidRPr="00576C3D" w:rsidRDefault="005D314E" w:rsidP="00576C3D">
            <w:r w:rsidRPr="00576C3D">
              <w:t>Karbondioksid</w:t>
            </w:r>
          </w:p>
        </w:tc>
      </w:tr>
      <w:tr w:rsidR="009D4FD2" w:rsidRPr="00576C3D" w14:paraId="2E1E2082" w14:textId="77777777">
        <w:trPr>
          <w:trHeight w:val="1660"/>
        </w:trPr>
        <w:tc>
          <w:tcPr>
            <w:tcW w:w="5220" w:type="dxa"/>
            <w:tcBorders>
              <w:top w:val="nil"/>
              <w:left w:val="nil"/>
              <w:bottom w:val="nil"/>
              <w:right w:val="nil"/>
            </w:tcBorders>
            <w:tcMar>
              <w:top w:w="128" w:type="dxa"/>
              <w:left w:w="43" w:type="dxa"/>
              <w:bottom w:w="43" w:type="dxa"/>
              <w:right w:w="163" w:type="dxa"/>
            </w:tcMar>
          </w:tcPr>
          <w:p w14:paraId="1E2A1B6D" w14:textId="12601F44" w:rsidR="005D314E" w:rsidRPr="00576C3D" w:rsidRDefault="005D314E" w:rsidP="00576C3D">
            <w:r w:rsidRPr="00576C3D">
              <w:t>7310 – Tanker, fat, tromler, spann, bokser, esker og liknende beholdere, av jern eller stål, for ethvert materiale (unntatt beholdere for komprimerte eller flytende gasser), med rominnhold høyst 300 liter, også fôret eller varmeisolert, men uten mekanisk eller termisk utstyr</w:t>
            </w:r>
          </w:p>
        </w:tc>
        <w:tc>
          <w:tcPr>
            <w:tcW w:w="4360" w:type="dxa"/>
            <w:tcBorders>
              <w:top w:val="nil"/>
              <w:left w:val="nil"/>
              <w:bottom w:val="nil"/>
              <w:right w:val="nil"/>
            </w:tcBorders>
            <w:tcMar>
              <w:top w:w="128" w:type="dxa"/>
              <w:left w:w="43" w:type="dxa"/>
              <w:bottom w:w="43" w:type="dxa"/>
              <w:right w:w="43" w:type="dxa"/>
            </w:tcMar>
          </w:tcPr>
          <w:p w14:paraId="506AD946" w14:textId="77777777" w:rsidR="005D314E" w:rsidRPr="00576C3D" w:rsidRDefault="005D314E" w:rsidP="00576C3D">
            <w:r w:rsidRPr="00576C3D">
              <w:t>Karbondioksid</w:t>
            </w:r>
          </w:p>
        </w:tc>
      </w:tr>
      <w:tr w:rsidR="009D4FD2" w:rsidRPr="00576C3D" w14:paraId="026BD11E" w14:textId="77777777">
        <w:trPr>
          <w:trHeight w:val="640"/>
        </w:trPr>
        <w:tc>
          <w:tcPr>
            <w:tcW w:w="5220" w:type="dxa"/>
            <w:tcBorders>
              <w:top w:val="nil"/>
              <w:left w:val="nil"/>
              <w:bottom w:val="nil"/>
              <w:right w:val="nil"/>
            </w:tcBorders>
            <w:tcMar>
              <w:top w:w="128" w:type="dxa"/>
              <w:left w:w="43" w:type="dxa"/>
              <w:bottom w:w="43" w:type="dxa"/>
              <w:right w:w="163" w:type="dxa"/>
            </w:tcMar>
          </w:tcPr>
          <w:p w14:paraId="54D1D90B" w14:textId="77777777" w:rsidR="005D314E" w:rsidRPr="00576C3D" w:rsidRDefault="005D314E" w:rsidP="00576C3D">
            <w:r w:rsidRPr="00576C3D">
              <w:t>7311 00 – Beholdere av jern eller stål for komprimerte eller flytende gasser</w:t>
            </w:r>
          </w:p>
        </w:tc>
        <w:tc>
          <w:tcPr>
            <w:tcW w:w="4360" w:type="dxa"/>
            <w:tcBorders>
              <w:top w:val="nil"/>
              <w:left w:val="nil"/>
              <w:bottom w:val="nil"/>
              <w:right w:val="nil"/>
            </w:tcBorders>
            <w:tcMar>
              <w:top w:w="128" w:type="dxa"/>
              <w:left w:w="43" w:type="dxa"/>
              <w:bottom w:w="43" w:type="dxa"/>
              <w:right w:w="43" w:type="dxa"/>
            </w:tcMar>
          </w:tcPr>
          <w:p w14:paraId="11804F38" w14:textId="77777777" w:rsidR="005D314E" w:rsidRPr="00576C3D" w:rsidRDefault="005D314E" w:rsidP="00576C3D">
            <w:r w:rsidRPr="00576C3D">
              <w:t>Karbondioksid</w:t>
            </w:r>
          </w:p>
        </w:tc>
      </w:tr>
      <w:tr w:rsidR="009D4FD2" w:rsidRPr="00576C3D" w14:paraId="30DCA9BD" w14:textId="77777777">
        <w:trPr>
          <w:trHeight w:val="1140"/>
        </w:trPr>
        <w:tc>
          <w:tcPr>
            <w:tcW w:w="5220" w:type="dxa"/>
            <w:tcBorders>
              <w:top w:val="nil"/>
              <w:left w:val="nil"/>
              <w:bottom w:val="nil"/>
              <w:right w:val="nil"/>
            </w:tcBorders>
            <w:tcMar>
              <w:top w:w="128" w:type="dxa"/>
              <w:left w:w="43" w:type="dxa"/>
              <w:bottom w:w="43" w:type="dxa"/>
              <w:right w:w="163" w:type="dxa"/>
            </w:tcMar>
          </w:tcPr>
          <w:p w14:paraId="7D422118" w14:textId="77777777" w:rsidR="005D314E" w:rsidRPr="00576C3D" w:rsidRDefault="005D314E" w:rsidP="00576C3D">
            <w:r w:rsidRPr="00576C3D">
              <w:t xml:space="preserve">7318 – Skruer, bolter, muttere, skinneskruer (franske </w:t>
            </w:r>
            <w:proofErr w:type="spellStart"/>
            <w:r w:rsidRPr="00576C3D">
              <w:t>treskruer</w:t>
            </w:r>
            <w:proofErr w:type="spellEnd"/>
            <w:r w:rsidRPr="00576C3D">
              <w:t>), skruekroker, nagler, kiler, splittpinner, underlagsskiver (herunder sprengskiver) og liknende varer, av jern eller stål</w:t>
            </w:r>
          </w:p>
        </w:tc>
        <w:tc>
          <w:tcPr>
            <w:tcW w:w="4360" w:type="dxa"/>
            <w:tcBorders>
              <w:top w:val="nil"/>
              <w:left w:val="nil"/>
              <w:bottom w:val="nil"/>
              <w:right w:val="nil"/>
            </w:tcBorders>
            <w:tcMar>
              <w:top w:w="128" w:type="dxa"/>
              <w:left w:w="43" w:type="dxa"/>
              <w:bottom w:w="43" w:type="dxa"/>
              <w:right w:w="43" w:type="dxa"/>
            </w:tcMar>
          </w:tcPr>
          <w:p w14:paraId="6CFC9493" w14:textId="77777777" w:rsidR="005D314E" w:rsidRPr="00576C3D" w:rsidRDefault="005D314E" w:rsidP="00576C3D">
            <w:r w:rsidRPr="00576C3D">
              <w:t>Karbondioksid</w:t>
            </w:r>
          </w:p>
        </w:tc>
      </w:tr>
      <w:tr w:rsidR="009D4FD2" w:rsidRPr="00576C3D" w14:paraId="79D81BDD" w14:textId="77777777">
        <w:trPr>
          <w:trHeight w:val="380"/>
        </w:trPr>
        <w:tc>
          <w:tcPr>
            <w:tcW w:w="5220" w:type="dxa"/>
            <w:tcBorders>
              <w:top w:val="nil"/>
              <w:left w:val="nil"/>
              <w:bottom w:val="single" w:sz="4" w:space="0" w:color="000000"/>
              <w:right w:val="nil"/>
            </w:tcBorders>
            <w:tcMar>
              <w:top w:w="128" w:type="dxa"/>
              <w:left w:w="43" w:type="dxa"/>
              <w:bottom w:w="43" w:type="dxa"/>
              <w:right w:w="163" w:type="dxa"/>
            </w:tcMar>
          </w:tcPr>
          <w:p w14:paraId="1C688583" w14:textId="77777777" w:rsidR="005D314E" w:rsidRPr="00576C3D" w:rsidRDefault="005D314E" w:rsidP="00576C3D">
            <w:r w:rsidRPr="00576C3D">
              <w:t>7326 – Andre varer av jern eller stål</w:t>
            </w:r>
          </w:p>
        </w:tc>
        <w:tc>
          <w:tcPr>
            <w:tcW w:w="4360" w:type="dxa"/>
            <w:tcBorders>
              <w:top w:val="nil"/>
              <w:left w:val="nil"/>
              <w:bottom w:val="single" w:sz="4" w:space="0" w:color="000000"/>
              <w:right w:val="nil"/>
            </w:tcBorders>
            <w:tcMar>
              <w:top w:w="128" w:type="dxa"/>
              <w:left w:w="43" w:type="dxa"/>
              <w:bottom w:w="43" w:type="dxa"/>
              <w:right w:w="43" w:type="dxa"/>
            </w:tcMar>
          </w:tcPr>
          <w:p w14:paraId="70D6C1DC" w14:textId="77777777" w:rsidR="005D314E" w:rsidRPr="00576C3D" w:rsidRDefault="005D314E" w:rsidP="00576C3D">
            <w:r w:rsidRPr="00576C3D">
              <w:t>Karbondioksid</w:t>
            </w:r>
          </w:p>
        </w:tc>
      </w:tr>
    </w:tbl>
    <w:p w14:paraId="2FB9DD1B" w14:textId="77777777" w:rsidR="005D314E" w:rsidRPr="00576C3D" w:rsidRDefault="005D314E" w:rsidP="00576C3D">
      <w:pPr>
        <w:pStyle w:val="Undertittel"/>
      </w:pPr>
      <w:r w:rsidRPr="00576C3D">
        <w:t>Aluminium</w:t>
      </w:r>
    </w:p>
    <w:p w14:paraId="08642150" w14:textId="77777777" w:rsidR="005D314E" w:rsidRPr="00576C3D" w:rsidRDefault="005D314E" w:rsidP="00576C3D">
      <w:pPr>
        <w:pStyle w:val="Tabellnavn"/>
      </w:pPr>
      <w:r w:rsidRPr="00576C3D">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220"/>
        <w:gridCol w:w="4360"/>
      </w:tblGrid>
      <w:tr w:rsidR="009D4FD2" w:rsidRPr="00576C3D" w14:paraId="345610C0" w14:textId="77777777">
        <w:trPr>
          <w:trHeight w:val="360"/>
        </w:trPr>
        <w:tc>
          <w:tcPr>
            <w:tcW w:w="5220" w:type="dxa"/>
            <w:tcBorders>
              <w:top w:val="single" w:sz="4" w:space="0" w:color="000000"/>
              <w:left w:val="nil"/>
              <w:bottom w:val="single" w:sz="4" w:space="0" w:color="000000"/>
              <w:right w:val="nil"/>
            </w:tcBorders>
            <w:tcMar>
              <w:top w:w="128" w:type="dxa"/>
              <w:left w:w="43" w:type="dxa"/>
              <w:bottom w:w="43" w:type="dxa"/>
              <w:right w:w="163" w:type="dxa"/>
            </w:tcMar>
            <w:vAlign w:val="bottom"/>
          </w:tcPr>
          <w:p w14:paraId="045EBF00" w14:textId="77777777" w:rsidR="005D314E" w:rsidRPr="00576C3D" w:rsidRDefault="005D314E" w:rsidP="00576C3D">
            <w:r w:rsidRPr="00576C3D">
              <w:t>KN-kode</w:t>
            </w:r>
          </w:p>
        </w:tc>
        <w:tc>
          <w:tcPr>
            <w:tcW w:w="4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D21AAC" w14:textId="77777777" w:rsidR="005D314E" w:rsidRPr="00576C3D" w:rsidRDefault="005D314E" w:rsidP="00576C3D">
            <w:r w:rsidRPr="00576C3D">
              <w:t>Klimagass</w:t>
            </w:r>
          </w:p>
        </w:tc>
      </w:tr>
      <w:tr w:rsidR="009D4FD2" w:rsidRPr="00576C3D" w14:paraId="5352DAF6" w14:textId="77777777">
        <w:trPr>
          <w:trHeight w:val="380"/>
        </w:trPr>
        <w:tc>
          <w:tcPr>
            <w:tcW w:w="5220" w:type="dxa"/>
            <w:tcBorders>
              <w:top w:val="single" w:sz="4" w:space="0" w:color="000000"/>
              <w:left w:val="nil"/>
              <w:bottom w:val="nil"/>
              <w:right w:val="nil"/>
            </w:tcBorders>
            <w:tcMar>
              <w:top w:w="128" w:type="dxa"/>
              <w:left w:w="43" w:type="dxa"/>
              <w:bottom w:w="43" w:type="dxa"/>
              <w:right w:w="163" w:type="dxa"/>
            </w:tcMar>
          </w:tcPr>
          <w:p w14:paraId="64CD6E8A" w14:textId="77777777" w:rsidR="005D314E" w:rsidRPr="00576C3D" w:rsidRDefault="005D314E" w:rsidP="00576C3D">
            <w:r w:rsidRPr="00576C3D">
              <w:t>7601 – Ubearbeidet aluminium</w:t>
            </w:r>
          </w:p>
        </w:tc>
        <w:tc>
          <w:tcPr>
            <w:tcW w:w="4360" w:type="dxa"/>
            <w:tcBorders>
              <w:top w:val="single" w:sz="4" w:space="0" w:color="000000"/>
              <w:left w:val="nil"/>
              <w:bottom w:val="nil"/>
              <w:right w:val="nil"/>
            </w:tcBorders>
            <w:tcMar>
              <w:top w:w="128" w:type="dxa"/>
              <w:left w:w="43" w:type="dxa"/>
              <w:bottom w:w="43" w:type="dxa"/>
              <w:right w:w="43" w:type="dxa"/>
            </w:tcMar>
          </w:tcPr>
          <w:p w14:paraId="38168757" w14:textId="77777777" w:rsidR="005D314E" w:rsidRPr="00576C3D" w:rsidRDefault="005D314E" w:rsidP="00576C3D">
            <w:r w:rsidRPr="00576C3D">
              <w:t xml:space="preserve">Karbondioksid og </w:t>
            </w:r>
            <w:proofErr w:type="spellStart"/>
            <w:r w:rsidRPr="00576C3D">
              <w:t>perfluorkarboner</w:t>
            </w:r>
            <w:proofErr w:type="spellEnd"/>
          </w:p>
        </w:tc>
      </w:tr>
      <w:tr w:rsidR="009D4FD2" w:rsidRPr="00576C3D" w14:paraId="47897F1B" w14:textId="77777777">
        <w:trPr>
          <w:trHeight w:val="380"/>
        </w:trPr>
        <w:tc>
          <w:tcPr>
            <w:tcW w:w="5220" w:type="dxa"/>
            <w:tcBorders>
              <w:top w:val="nil"/>
              <w:left w:val="nil"/>
              <w:bottom w:val="nil"/>
              <w:right w:val="nil"/>
            </w:tcBorders>
            <w:tcMar>
              <w:top w:w="128" w:type="dxa"/>
              <w:left w:w="43" w:type="dxa"/>
              <w:bottom w:w="43" w:type="dxa"/>
              <w:right w:w="163" w:type="dxa"/>
            </w:tcMar>
          </w:tcPr>
          <w:p w14:paraId="2CA6FEB6" w14:textId="77777777" w:rsidR="005D314E" w:rsidRPr="00576C3D" w:rsidRDefault="005D314E" w:rsidP="00576C3D">
            <w:r w:rsidRPr="00576C3D">
              <w:t>7603 – Pulver og flak av aluminium</w:t>
            </w:r>
          </w:p>
        </w:tc>
        <w:tc>
          <w:tcPr>
            <w:tcW w:w="4360" w:type="dxa"/>
            <w:tcBorders>
              <w:top w:val="nil"/>
              <w:left w:val="nil"/>
              <w:bottom w:val="nil"/>
              <w:right w:val="nil"/>
            </w:tcBorders>
            <w:tcMar>
              <w:top w:w="128" w:type="dxa"/>
              <w:left w:w="43" w:type="dxa"/>
              <w:bottom w:w="43" w:type="dxa"/>
              <w:right w:w="43" w:type="dxa"/>
            </w:tcMar>
          </w:tcPr>
          <w:p w14:paraId="1D8662D0" w14:textId="77777777" w:rsidR="005D314E" w:rsidRPr="00576C3D" w:rsidRDefault="005D314E" w:rsidP="00576C3D">
            <w:r w:rsidRPr="00576C3D">
              <w:t xml:space="preserve">Karbondioksid og </w:t>
            </w:r>
            <w:proofErr w:type="spellStart"/>
            <w:r w:rsidRPr="00576C3D">
              <w:t>perfluorkarboner</w:t>
            </w:r>
            <w:proofErr w:type="spellEnd"/>
          </w:p>
        </w:tc>
      </w:tr>
      <w:tr w:rsidR="009D4FD2" w:rsidRPr="00576C3D" w14:paraId="68CFC938" w14:textId="77777777">
        <w:trPr>
          <w:trHeight w:val="380"/>
        </w:trPr>
        <w:tc>
          <w:tcPr>
            <w:tcW w:w="5220" w:type="dxa"/>
            <w:tcBorders>
              <w:top w:val="nil"/>
              <w:left w:val="nil"/>
              <w:bottom w:val="nil"/>
              <w:right w:val="nil"/>
            </w:tcBorders>
            <w:tcMar>
              <w:top w:w="128" w:type="dxa"/>
              <w:left w:w="43" w:type="dxa"/>
              <w:bottom w:w="43" w:type="dxa"/>
              <w:right w:w="163" w:type="dxa"/>
            </w:tcMar>
          </w:tcPr>
          <w:p w14:paraId="00DE1BD5" w14:textId="77777777" w:rsidR="005D314E" w:rsidRPr="00576C3D" w:rsidRDefault="005D314E" w:rsidP="00576C3D">
            <w:r w:rsidRPr="00576C3D">
              <w:t>7604 – Stenger og profiler av aluminium</w:t>
            </w:r>
          </w:p>
        </w:tc>
        <w:tc>
          <w:tcPr>
            <w:tcW w:w="4360" w:type="dxa"/>
            <w:tcBorders>
              <w:top w:val="nil"/>
              <w:left w:val="nil"/>
              <w:bottom w:val="nil"/>
              <w:right w:val="nil"/>
            </w:tcBorders>
            <w:tcMar>
              <w:top w:w="128" w:type="dxa"/>
              <w:left w:w="43" w:type="dxa"/>
              <w:bottom w:w="43" w:type="dxa"/>
              <w:right w:w="43" w:type="dxa"/>
            </w:tcMar>
          </w:tcPr>
          <w:p w14:paraId="63DE78DE" w14:textId="77777777" w:rsidR="005D314E" w:rsidRPr="00576C3D" w:rsidRDefault="005D314E" w:rsidP="00576C3D">
            <w:r w:rsidRPr="00576C3D">
              <w:t xml:space="preserve">Karbondioksid og </w:t>
            </w:r>
            <w:proofErr w:type="spellStart"/>
            <w:r w:rsidRPr="00576C3D">
              <w:t>perfluorkarboner</w:t>
            </w:r>
            <w:proofErr w:type="spellEnd"/>
          </w:p>
        </w:tc>
      </w:tr>
      <w:tr w:rsidR="009D4FD2" w:rsidRPr="00576C3D" w14:paraId="0E701002" w14:textId="77777777">
        <w:trPr>
          <w:trHeight w:val="380"/>
        </w:trPr>
        <w:tc>
          <w:tcPr>
            <w:tcW w:w="5220" w:type="dxa"/>
            <w:tcBorders>
              <w:top w:val="nil"/>
              <w:left w:val="nil"/>
              <w:bottom w:val="nil"/>
              <w:right w:val="nil"/>
            </w:tcBorders>
            <w:tcMar>
              <w:top w:w="128" w:type="dxa"/>
              <w:left w:w="43" w:type="dxa"/>
              <w:bottom w:w="43" w:type="dxa"/>
              <w:right w:w="163" w:type="dxa"/>
            </w:tcMar>
          </w:tcPr>
          <w:p w14:paraId="06675638" w14:textId="77777777" w:rsidR="005D314E" w:rsidRPr="00576C3D" w:rsidRDefault="005D314E" w:rsidP="00576C3D">
            <w:r w:rsidRPr="00576C3D">
              <w:t>7605 – Tråd av aluminium</w:t>
            </w:r>
          </w:p>
        </w:tc>
        <w:tc>
          <w:tcPr>
            <w:tcW w:w="4360" w:type="dxa"/>
            <w:tcBorders>
              <w:top w:val="nil"/>
              <w:left w:val="nil"/>
              <w:bottom w:val="nil"/>
              <w:right w:val="nil"/>
            </w:tcBorders>
            <w:tcMar>
              <w:top w:w="128" w:type="dxa"/>
              <w:left w:w="43" w:type="dxa"/>
              <w:bottom w:w="43" w:type="dxa"/>
              <w:right w:w="43" w:type="dxa"/>
            </w:tcMar>
          </w:tcPr>
          <w:p w14:paraId="456352E6" w14:textId="77777777" w:rsidR="005D314E" w:rsidRPr="00576C3D" w:rsidRDefault="005D314E" w:rsidP="00576C3D">
            <w:r w:rsidRPr="00576C3D">
              <w:t xml:space="preserve">Karbondioksid og </w:t>
            </w:r>
            <w:proofErr w:type="spellStart"/>
            <w:r w:rsidRPr="00576C3D">
              <w:t>perfluorkarboner</w:t>
            </w:r>
            <w:proofErr w:type="spellEnd"/>
          </w:p>
        </w:tc>
      </w:tr>
      <w:tr w:rsidR="009D4FD2" w:rsidRPr="00576C3D" w14:paraId="2C834EF1" w14:textId="77777777">
        <w:trPr>
          <w:trHeight w:val="640"/>
        </w:trPr>
        <w:tc>
          <w:tcPr>
            <w:tcW w:w="5220" w:type="dxa"/>
            <w:tcBorders>
              <w:top w:val="nil"/>
              <w:left w:val="nil"/>
              <w:bottom w:val="nil"/>
              <w:right w:val="nil"/>
            </w:tcBorders>
            <w:tcMar>
              <w:top w:w="128" w:type="dxa"/>
              <w:left w:w="43" w:type="dxa"/>
              <w:bottom w:w="43" w:type="dxa"/>
              <w:right w:w="163" w:type="dxa"/>
            </w:tcMar>
          </w:tcPr>
          <w:p w14:paraId="5F9FC0CB" w14:textId="0C9C2E73" w:rsidR="005D314E" w:rsidRPr="00576C3D" w:rsidRDefault="005D314E" w:rsidP="00576C3D">
            <w:r w:rsidRPr="00576C3D">
              <w:t>7606 – Plater og bånd av aluminium, med tykkelse over 0,2 mm</w:t>
            </w:r>
          </w:p>
        </w:tc>
        <w:tc>
          <w:tcPr>
            <w:tcW w:w="4360" w:type="dxa"/>
            <w:tcBorders>
              <w:top w:val="nil"/>
              <w:left w:val="nil"/>
              <w:bottom w:val="nil"/>
              <w:right w:val="nil"/>
            </w:tcBorders>
            <w:tcMar>
              <w:top w:w="128" w:type="dxa"/>
              <w:left w:w="43" w:type="dxa"/>
              <w:bottom w:w="43" w:type="dxa"/>
              <w:right w:w="43" w:type="dxa"/>
            </w:tcMar>
          </w:tcPr>
          <w:p w14:paraId="0EB40DD5" w14:textId="77777777" w:rsidR="005D314E" w:rsidRPr="00576C3D" w:rsidRDefault="005D314E" w:rsidP="00576C3D">
            <w:r w:rsidRPr="00576C3D">
              <w:t xml:space="preserve">Karbondioksid og </w:t>
            </w:r>
            <w:proofErr w:type="spellStart"/>
            <w:r w:rsidRPr="00576C3D">
              <w:t>perfluorkarboner</w:t>
            </w:r>
            <w:proofErr w:type="spellEnd"/>
          </w:p>
        </w:tc>
      </w:tr>
      <w:tr w:rsidR="009D4FD2" w:rsidRPr="00576C3D" w14:paraId="7668C2BF" w14:textId="77777777">
        <w:trPr>
          <w:trHeight w:val="1140"/>
        </w:trPr>
        <w:tc>
          <w:tcPr>
            <w:tcW w:w="5220" w:type="dxa"/>
            <w:tcBorders>
              <w:top w:val="nil"/>
              <w:left w:val="nil"/>
              <w:bottom w:val="nil"/>
              <w:right w:val="nil"/>
            </w:tcBorders>
            <w:tcMar>
              <w:top w:w="128" w:type="dxa"/>
              <w:left w:w="43" w:type="dxa"/>
              <w:bottom w:w="43" w:type="dxa"/>
              <w:right w:w="163" w:type="dxa"/>
            </w:tcMar>
          </w:tcPr>
          <w:p w14:paraId="44782D9F" w14:textId="77777777" w:rsidR="005D314E" w:rsidRPr="00576C3D" w:rsidRDefault="005D314E" w:rsidP="00576C3D">
            <w:r w:rsidRPr="00576C3D">
              <w:t>7607 – Folier av aluminium (også trykte eller med underlag av papir, papp, plast eller liknende materiale), med tykkelse høyst 0,2 mm (underlag ikke medregnet)</w:t>
            </w:r>
          </w:p>
        </w:tc>
        <w:tc>
          <w:tcPr>
            <w:tcW w:w="4360" w:type="dxa"/>
            <w:tcBorders>
              <w:top w:val="nil"/>
              <w:left w:val="nil"/>
              <w:bottom w:val="nil"/>
              <w:right w:val="nil"/>
            </w:tcBorders>
            <w:tcMar>
              <w:top w:w="128" w:type="dxa"/>
              <w:left w:w="43" w:type="dxa"/>
              <w:bottom w:w="43" w:type="dxa"/>
              <w:right w:w="43" w:type="dxa"/>
            </w:tcMar>
          </w:tcPr>
          <w:p w14:paraId="517AFDD5" w14:textId="77777777" w:rsidR="005D314E" w:rsidRPr="00576C3D" w:rsidRDefault="005D314E" w:rsidP="00576C3D">
            <w:r w:rsidRPr="00576C3D">
              <w:t xml:space="preserve">Karbondioksid og </w:t>
            </w:r>
            <w:proofErr w:type="spellStart"/>
            <w:r w:rsidRPr="00576C3D">
              <w:t>perfluorkarboner</w:t>
            </w:r>
            <w:proofErr w:type="spellEnd"/>
          </w:p>
        </w:tc>
      </w:tr>
      <w:tr w:rsidR="009D4FD2" w:rsidRPr="00576C3D" w14:paraId="2E2A3A41" w14:textId="77777777">
        <w:trPr>
          <w:trHeight w:val="380"/>
        </w:trPr>
        <w:tc>
          <w:tcPr>
            <w:tcW w:w="5220" w:type="dxa"/>
            <w:tcBorders>
              <w:top w:val="nil"/>
              <w:left w:val="nil"/>
              <w:bottom w:val="nil"/>
              <w:right w:val="nil"/>
            </w:tcBorders>
            <w:tcMar>
              <w:top w:w="128" w:type="dxa"/>
              <w:left w:w="43" w:type="dxa"/>
              <w:bottom w:w="43" w:type="dxa"/>
              <w:right w:w="163" w:type="dxa"/>
            </w:tcMar>
          </w:tcPr>
          <w:p w14:paraId="2C040895" w14:textId="77777777" w:rsidR="005D314E" w:rsidRPr="00576C3D" w:rsidRDefault="005D314E" w:rsidP="00576C3D">
            <w:r w:rsidRPr="00576C3D">
              <w:t>7608 – Rør av aluminium</w:t>
            </w:r>
          </w:p>
        </w:tc>
        <w:tc>
          <w:tcPr>
            <w:tcW w:w="4360" w:type="dxa"/>
            <w:tcBorders>
              <w:top w:val="nil"/>
              <w:left w:val="nil"/>
              <w:bottom w:val="nil"/>
              <w:right w:val="nil"/>
            </w:tcBorders>
            <w:tcMar>
              <w:top w:w="128" w:type="dxa"/>
              <w:left w:w="43" w:type="dxa"/>
              <w:bottom w:w="43" w:type="dxa"/>
              <w:right w:w="43" w:type="dxa"/>
            </w:tcMar>
          </w:tcPr>
          <w:p w14:paraId="31CA04E3" w14:textId="77777777" w:rsidR="005D314E" w:rsidRPr="00576C3D" w:rsidRDefault="005D314E" w:rsidP="00576C3D">
            <w:r w:rsidRPr="00576C3D">
              <w:t xml:space="preserve">Karbondioksid og </w:t>
            </w:r>
            <w:proofErr w:type="spellStart"/>
            <w:r w:rsidRPr="00576C3D">
              <w:t>perfluorkarboner</w:t>
            </w:r>
            <w:proofErr w:type="spellEnd"/>
          </w:p>
        </w:tc>
      </w:tr>
      <w:tr w:rsidR="009D4FD2" w:rsidRPr="00576C3D" w14:paraId="28E7360A" w14:textId="77777777">
        <w:trPr>
          <w:trHeight w:val="640"/>
        </w:trPr>
        <w:tc>
          <w:tcPr>
            <w:tcW w:w="5220" w:type="dxa"/>
            <w:tcBorders>
              <w:top w:val="nil"/>
              <w:left w:val="nil"/>
              <w:bottom w:val="nil"/>
              <w:right w:val="nil"/>
            </w:tcBorders>
            <w:tcMar>
              <w:top w:w="128" w:type="dxa"/>
              <w:left w:w="43" w:type="dxa"/>
              <w:bottom w:w="43" w:type="dxa"/>
              <w:right w:w="163" w:type="dxa"/>
            </w:tcMar>
          </w:tcPr>
          <w:p w14:paraId="25099586" w14:textId="77777777" w:rsidR="005D314E" w:rsidRPr="00576C3D" w:rsidRDefault="005D314E" w:rsidP="00576C3D">
            <w:r w:rsidRPr="00576C3D">
              <w:t xml:space="preserve">7609 00 00 – Rørdeler (fittings) (f.eks. forbindelsesstykker, </w:t>
            </w:r>
            <w:proofErr w:type="gramStart"/>
            <w:r w:rsidRPr="00576C3D">
              <w:t>knær,</w:t>
            </w:r>
            <w:proofErr w:type="gramEnd"/>
            <w:r w:rsidRPr="00576C3D">
              <w:t xml:space="preserve"> muffer) av aluminium</w:t>
            </w:r>
          </w:p>
        </w:tc>
        <w:tc>
          <w:tcPr>
            <w:tcW w:w="4360" w:type="dxa"/>
            <w:tcBorders>
              <w:top w:val="nil"/>
              <w:left w:val="nil"/>
              <w:bottom w:val="nil"/>
              <w:right w:val="nil"/>
            </w:tcBorders>
            <w:tcMar>
              <w:top w:w="128" w:type="dxa"/>
              <w:left w:w="43" w:type="dxa"/>
              <w:bottom w:w="43" w:type="dxa"/>
              <w:right w:w="43" w:type="dxa"/>
            </w:tcMar>
          </w:tcPr>
          <w:p w14:paraId="7BB9FB36" w14:textId="77777777" w:rsidR="005D314E" w:rsidRPr="00576C3D" w:rsidRDefault="005D314E" w:rsidP="00576C3D">
            <w:r w:rsidRPr="00576C3D">
              <w:t xml:space="preserve">Karbondioksid og </w:t>
            </w:r>
            <w:proofErr w:type="spellStart"/>
            <w:r w:rsidRPr="00576C3D">
              <w:t>perfluorkarboner</w:t>
            </w:r>
            <w:proofErr w:type="spellEnd"/>
          </w:p>
        </w:tc>
      </w:tr>
      <w:tr w:rsidR="009D4FD2" w:rsidRPr="00576C3D" w14:paraId="149BEA2D" w14:textId="77777777">
        <w:trPr>
          <w:trHeight w:val="1920"/>
        </w:trPr>
        <w:tc>
          <w:tcPr>
            <w:tcW w:w="5220" w:type="dxa"/>
            <w:tcBorders>
              <w:top w:val="nil"/>
              <w:left w:val="nil"/>
              <w:bottom w:val="nil"/>
              <w:right w:val="nil"/>
            </w:tcBorders>
            <w:tcMar>
              <w:top w:w="128" w:type="dxa"/>
              <w:left w:w="43" w:type="dxa"/>
              <w:bottom w:w="43" w:type="dxa"/>
              <w:right w:w="163" w:type="dxa"/>
            </w:tcMar>
          </w:tcPr>
          <w:p w14:paraId="4910D501" w14:textId="77777777" w:rsidR="005D314E" w:rsidRPr="00576C3D" w:rsidRDefault="005D314E" w:rsidP="00576C3D">
            <w:r w:rsidRPr="00576C3D">
              <w:t>7610 – Konstruksjoner av aluminium (unntatt prefabrikkerte bygninger som hører under posisjon 94.06) og deler dertil (f.eks. bruer, bruseksjoner, tårn, master, tak, taksperrer, dører og vinduer samt rammer og karmer dertil og dørterskler, rekkverk, søyler og pilarer); plater, stenger, profiler, rør og liknende av aluminium, bearbeidete til bruk i konstruksjoner</w:t>
            </w:r>
          </w:p>
        </w:tc>
        <w:tc>
          <w:tcPr>
            <w:tcW w:w="4360" w:type="dxa"/>
            <w:tcBorders>
              <w:top w:val="nil"/>
              <w:left w:val="nil"/>
              <w:bottom w:val="nil"/>
              <w:right w:val="nil"/>
            </w:tcBorders>
            <w:tcMar>
              <w:top w:w="128" w:type="dxa"/>
              <w:left w:w="43" w:type="dxa"/>
              <w:bottom w:w="43" w:type="dxa"/>
              <w:right w:w="43" w:type="dxa"/>
            </w:tcMar>
          </w:tcPr>
          <w:p w14:paraId="25C86A1F" w14:textId="77777777" w:rsidR="005D314E" w:rsidRPr="00576C3D" w:rsidRDefault="005D314E" w:rsidP="00576C3D">
            <w:r w:rsidRPr="00576C3D">
              <w:t xml:space="preserve">Karbondioksid og </w:t>
            </w:r>
            <w:proofErr w:type="spellStart"/>
            <w:r w:rsidRPr="00576C3D">
              <w:t>perfluorkarboner</w:t>
            </w:r>
            <w:proofErr w:type="spellEnd"/>
          </w:p>
        </w:tc>
      </w:tr>
      <w:tr w:rsidR="009D4FD2" w:rsidRPr="00576C3D" w14:paraId="4D4BB310" w14:textId="77777777">
        <w:trPr>
          <w:trHeight w:val="1400"/>
        </w:trPr>
        <w:tc>
          <w:tcPr>
            <w:tcW w:w="5220" w:type="dxa"/>
            <w:tcBorders>
              <w:top w:val="nil"/>
              <w:left w:val="nil"/>
              <w:bottom w:val="nil"/>
              <w:right w:val="nil"/>
            </w:tcBorders>
            <w:tcMar>
              <w:top w:w="128" w:type="dxa"/>
              <w:left w:w="43" w:type="dxa"/>
              <w:bottom w:w="43" w:type="dxa"/>
              <w:right w:w="163" w:type="dxa"/>
            </w:tcMar>
          </w:tcPr>
          <w:p w14:paraId="3C737BB1" w14:textId="77777777" w:rsidR="005D314E" w:rsidRPr="00576C3D" w:rsidRDefault="005D314E" w:rsidP="00576C3D">
            <w:r w:rsidRPr="00576C3D">
              <w:t>7611 00 00 – Tanker, kar og liknende beholdere, av aluminium, for ethvert materiale (unntatt beholdere for komprimerte eller flytende gasser), med rominnhold over 300 liter, også fôret eller varmeisolert, men uten mekanisk eller termisk utstyr</w:t>
            </w:r>
          </w:p>
        </w:tc>
        <w:tc>
          <w:tcPr>
            <w:tcW w:w="4360" w:type="dxa"/>
            <w:tcBorders>
              <w:top w:val="nil"/>
              <w:left w:val="nil"/>
              <w:bottom w:val="nil"/>
              <w:right w:val="nil"/>
            </w:tcBorders>
            <w:tcMar>
              <w:top w:w="128" w:type="dxa"/>
              <w:left w:w="43" w:type="dxa"/>
              <w:bottom w:w="43" w:type="dxa"/>
              <w:right w:w="43" w:type="dxa"/>
            </w:tcMar>
          </w:tcPr>
          <w:p w14:paraId="355D09BF" w14:textId="77777777" w:rsidR="005D314E" w:rsidRPr="00576C3D" w:rsidRDefault="005D314E" w:rsidP="00576C3D">
            <w:r w:rsidRPr="00576C3D">
              <w:t xml:space="preserve">Karbondioksid og </w:t>
            </w:r>
            <w:proofErr w:type="spellStart"/>
            <w:r w:rsidRPr="00576C3D">
              <w:t>perfluorkarboner</w:t>
            </w:r>
            <w:proofErr w:type="spellEnd"/>
          </w:p>
        </w:tc>
      </w:tr>
      <w:tr w:rsidR="009D4FD2" w:rsidRPr="00576C3D" w14:paraId="1BA89486" w14:textId="77777777">
        <w:trPr>
          <w:trHeight w:val="1660"/>
        </w:trPr>
        <w:tc>
          <w:tcPr>
            <w:tcW w:w="5220" w:type="dxa"/>
            <w:tcBorders>
              <w:top w:val="nil"/>
              <w:left w:val="nil"/>
              <w:bottom w:val="nil"/>
              <w:right w:val="nil"/>
            </w:tcBorders>
            <w:tcMar>
              <w:top w:w="128" w:type="dxa"/>
              <w:left w:w="43" w:type="dxa"/>
              <w:bottom w:w="43" w:type="dxa"/>
              <w:right w:w="163" w:type="dxa"/>
            </w:tcMar>
          </w:tcPr>
          <w:p w14:paraId="6C213C02" w14:textId="77777777" w:rsidR="005D314E" w:rsidRPr="00576C3D" w:rsidRDefault="005D314E" w:rsidP="00576C3D">
            <w:r w:rsidRPr="00576C3D">
              <w:t>7612 – Tanker, fat, tromler, spann, bokser, esker og liknende beholdere, av aluminium (herunder rørformede beholdere og tuber), for ethvert materiale (unntatt beholdere for komprimerte eller flytende gasser), med rominnhold høyst 300 liter, også fôret eller varmeisolert, men uten mekanisk eller termisk utstyr</w:t>
            </w:r>
          </w:p>
        </w:tc>
        <w:tc>
          <w:tcPr>
            <w:tcW w:w="4360" w:type="dxa"/>
            <w:tcBorders>
              <w:top w:val="nil"/>
              <w:left w:val="nil"/>
              <w:bottom w:val="nil"/>
              <w:right w:val="nil"/>
            </w:tcBorders>
            <w:tcMar>
              <w:top w:w="128" w:type="dxa"/>
              <w:left w:w="43" w:type="dxa"/>
              <w:bottom w:w="43" w:type="dxa"/>
              <w:right w:w="43" w:type="dxa"/>
            </w:tcMar>
          </w:tcPr>
          <w:p w14:paraId="520818B4" w14:textId="77777777" w:rsidR="005D314E" w:rsidRPr="00576C3D" w:rsidRDefault="005D314E" w:rsidP="00576C3D">
            <w:r w:rsidRPr="00576C3D">
              <w:t xml:space="preserve">Karbondioksid og </w:t>
            </w:r>
            <w:proofErr w:type="spellStart"/>
            <w:r w:rsidRPr="00576C3D">
              <w:t>perfluorkarboner</w:t>
            </w:r>
            <w:proofErr w:type="spellEnd"/>
          </w:p>
        </w:tc>
      </w:tr>
      <w:tr w:rsidR="009D4FD2" w:rsidRPr="00576C3D" w14:paraId="2BD5E4E6" w14:textId="77777777">
        <w:trPr>
          <w:trHeight w:val="640"/>
        </w:trPr>
        <w:tc>
          <w:tcPr>
            <w:tcW w:w="5220" w:type="dxa"/>
            <w:tcBorders>
              <w:top w:val="nil"/>
              <w:left w:val="nil"/>
              <w:bottom w:val="nil"/>
              <w:right w:val="nil"/>
            </w:tcBorders>
            <w:tcMar>
              <w:top w:w="128" w:type="dxa"/>
              <w:left w:w="43" w:type="dxa"/>
              <w:bottom w:w="43" w:type="dxa"/>
              <w:right w:w="163" w:type="dxa"/>
            </w:tcMar>
          </w:tcPr>
          <w:p w14:paraId="2D569812" w14:textId="77777777" w:rsidR="005D314E" w:rsidRPr="00576C3D" w:rsidRDefault="005D314E" w:rsidP="00576C3D">
            <w:r w:rsidRPr="00576C3D">
              <w:t>7613 00 00 – Beholdere av aluminium for komprimerte eller flytende gasser</w:t>
            </w:r>
          </w:p>
        </w:tc>
        <w:tc>
          <w:tcPr>
            <w:tcW w:w="4360" w:type="dxa"/>
            <w:tcBorders>
              <w:top w:val="nil"/>
              <w:left w:val="nil"/>
              <w:bottom w:val="nil"/>
              <w:right w:val="nil"/>
            </w:tcBorders>
            <w:tcMar>
              <w:top w:w="128" w:type="dxa"/>
              <w:left w:w="43" w:type="dxa"/>
              <w:bottom w:w="43" w:type="dxa"/>
              <w:right w:w="43" w:type="dxa"/>
            </w:tcMar>
          </w:tcPr>
          <w:p w14:paraId="6E14B7A3" w14:textId="77777777" w:rsidR="005D314E" w:rsidRPr="00576C3D" w:rsidRDefault="005D314E" w:rsidP="00576C3D">
            <w:r w:rsidRPr="00576C3D">
              <w:t xml:space="preserve">Karbondioksid og </w:t>
            </w:r>
            <w:proofErr w:type="spellStart"/>
            <w:r w:rsidRPr="00576C3D">
              <w:t>perfluorkarboner</w:t>
            </w:r>
            <w:proofErr w:type="spellEnd"/>
          </w:p>
        </w:tc>
      </w:tr>
      <w:tr w:rsidR="009D4FD2" w:rsidRPr="00576C3D" w14:paraId="481CA429" w14:textId="77777777">
        <w:trPr>
          <w:trHeight w:val="640"/>
        </w:trPr>
        <w:tc>
          <w:tcPr>
            <w:tcW w:w="5220" w:type="dxa"/>
            <w:tcBorders>
              <w:top w:val="nil"/>
              <w:left w:val="nil"/>
              <w:bottom w:val="nil"/>
              <w:right w:val="nil"/>
            </w:tcBorders>
            <w:tcMar>
              <w:top w:w="128" w:type="dxa"/>
              <w:left w:w="43" w:type="dxa"/>
              <w:bottom w:w="43" w:type="dxa"/>
              <w:right w:w="163" w:type="dxa"/>
            </w:tcMar>
          </w:tcPr>
          <w:p w14:paraId="47BB089F" w14:textId="77777777" w:rsidR="005D314E" w:rsidRPr="00576C3D" w:rsidRDefault="005D314E" w:rsidP="00576C3D">
            <w:r w:rsidRPr="00576C3D">
              <w:t>7614 – Tau, liner, kabler, flettede bånd og liknende varer, av aluminium, uten elektrisk isolasjon</w:t>
            </w:r>
          </w:p>
        </w:tc>
        <w:tc>
          <w:tcPr>
            <w:tcW w:w="4360" w:type="dxa"/>
            <w:tcBorders>
              <w:top w:val="nil"/>
              <w:left w:val="nil"/>
              <w:bottom w:val="nil"/>
              <w:right w:val="nil"/>
            </w:tcBorders>
            <w:tcMar>
              <w:top w:w="128" w:type="dxa"/>
              <w:left w:w="43" w:type="dxa"/>
              <w:bottom w:w="43" w:type="dxa"/>
              <w:right w:w="43" w:type="dxa"/>
            </w:tcMar>
          </w:tcPr>
          <w:p w14:paraId="6D469706" w14:textId="77777777" w:rsidR="005D314E" w:rsidRPr="00576C3D" w:rsidRDefault="005D314E" w:rsidP="00576C3D">
            <w:r w:rsidRPr="00576C3D">
              <w:t xml:space="preserve">Karbondioksid og </w:t>
            </w:r>
            <w:proofErr w:type="spellStart"/>
            <w:r w:rsidRPr="00576C3D">
              <w:t>perfluorkarboner</w:t>
            </w:r>
            <w:proofErr w:type="spellEnd"/>
          </w:p>
        </w:tc>
      </w:tr>
      <w:tr w:rsidR="009D4FD2" w:rsidRPr="00576C3D" w14:paraId="199BCD54" w14:textId="77777777">
        <w:trPr>
          <w:trHeight w:val="380"/>
        </w:trPr>
        <w:tc>
          <w:tcPr>
            <w:tcW w:w="5220" w:type="dxa"/>
            <w:tcBorders>
              <w:top w:val="nil"/>
              <w:left w:val="nil"/>
              <w:bottom w:val="single" w:sz="4" w:space="0" w:color="000000"/>
              <w:right w:val="nil"/>
            </w:tcBorders>
            <w:tcMar>
              <w:top w:w="128" w:type="dxa"/>
              <w:left w:w="43" w:type="dxa"/>
              <w:bottom w:w="43" w:type="dxa"/>
              <w:right w:w="163" w:type="dxa"/>
            </w:tcMar>
          </w:tcPr>
          <w:p w14:paraId="0DD290CA" w14:textId="77777777" w:rsidR="005D314E" w:rsidRPr="00576C3D" w:rsidRDefault="005D314E" w:rsidP="00576C3D">
            <w:r w:rsidRPr="00576C3D">
              <w:t>7616 – Andre varer av aluminium</w:t>
            </w:r>
          </w:p>
        </w:tc>
        <w:tc>
          <w:tcPr>
            <w:tcW w:w="4360" w:type="dxa"/>
            <w:tcBorders>
              <w:top w:val="nil"/>
              <w:left w:val="nil"/>
              <w:bottom w:val="single" w:sz="4" w:space="0" w:color="000000"/>
              <w:right w:val="nil"/>
            </w:tcBorders>
            <w:tcMar>
              <w:top w:w="128" w:type="dxa"/>
              <w:left w:w="43" w:type="dxa"/>
              <w:bottom w:w="43" w:type="dxa"/>
              <w:right w:w="43" w:type="dxa"/>
            </w:tcMar>
          </w:tcPr>
          <w:p w14:paraId="62094B54" w14:textId="77777777" w:rsidR="005D314E" w:rsidRPr="00576C3D" w:rsidRDefault="005D314E" w:rsidP="00576C3D">
            <w:r w:rsidRPr="00576C3D">
              <w:t xml:space="preserve">Karbondioksid og </w:t>
            </w:r>
            <w:proofErr w:type="spellStart"/>
            <w:r w:rsidRPr="00576C3D">
              <w:t>perfluorkarboner</w:t>
            </w:r>
            <w:proofErr w:type="spellEnd"/>
          </w:p>
        </w:tc>
      </w:tr>
    </w:tbl>
    <w:p w14:paraId="4B71DE97" w14:textId="77777777" w:rsidR="005D314E" w:rsidRPr="00576C3D" w:rsidRDefault="005D314E" w:rsidP="00576C3D">
      <w:pPr>
        <w:pStyle w:val="Undertittel"/>
      </w:pPr>
      <w:r w:rsidRPr="00576C3D">
        <w:t>Kjemikalier</w:t>
      </w:r>
    </w:p>
    <w:p w14:paraId="6A75117B" w14:textId="77777777" w:rsidR="005D314E" w:rsidRPr="00576C3D" w:rsidRDefault="005D314E" w:rsidP="00576C3D">
      <w:pPr>
        <w:pStyle w:val="Tabellnavn"/>
      </w:pPr>
      <w:r w:rsidRPr="00576C3D">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220"/>
        <w:gridCol w:w="4360"/>
      </w:tblGrid>
      <w:tr w:rsidR="009D4FD2" w:rsidRPr="00576C3D" w14:paraId="193455EB" w14:textId="77777777">
        <w:trPr>
          <w:trHeight w:val="360"/>
        </w:trPr>
        <w:tc>
          <w:tcPr>
            <w:tcW w:w="5220" w:type="dxa"/>
            <w:tcBorders>
              <w:top w:val="single" w:sz="4" w:space="0" w:color="000000"/>
              <w:left w:val="nil"/>
              <w:bottom w:val="single" w:sz="4" w:space="0" w:color="000000"/>
              <w:right w:val="nil"/>
            </w:tcBorders>
            <w:tcMar>
              <w:top w:w="128" w:type="dxa"/>
              <w:left w:w="43" w:type="dxa"/>
              <w:bottom w:w="43" w:type="dxa"/>
              <w:right w:w="163" w:type="dxa"/>
            </w:tcMar>
            <w:vAlign w:val="bottom"/>
          </w:tcPr>
          <w:p w14:paraId="282C9897" w14:textId="77777777" w:rsidR="005D314E" w:rsidRPr="00576C3D" w:rsidRDefault="005D314E" w:rsidP="00576C3D">
            <w:r w:rsidRPr="00576C3D">
              <w:t>KN-kode</w:t>
            </w:r>
          </w:p>
        </w:tc>
        <w:tc>
          <w:tcPr>
            <w:tcW w:w="4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E6AAD4" w14:textId="77777777" w:rsidR="005D314E" w:rsidRPr="00576C3D" w:rsidRDefault="005D314E" w:rsidP="00576C3D">
            <w:r w:rsidRPr="00576C3D">
              <w:t>Klimagass</w:t>
            </w:r>
          </w:p>
        </w:tc>
      </w:tr>
      <w:tr w:rsidR="009D4FD2" w:rsidRPr="00576C3D" w14:paraId="76D97A45" w14:textId="77777777">
        <w:trPr>
          <w:trHeight w:val="380"/>
        </w:trPr>
        <w:tc>
          <w:tcPr>
            <w:tcW w:w="5220" w:type="dxa"/>
            <w:tcBorders>
              <w:top w:val="single" w:sz="4" w:space="0" w:color="000000"/>
              <w:left w:val="nil"/>
              <w:bottom w:val="single" w:sz="4" w:space="0" w:color="000000"/>
              <w:right w:val="nil"/>
            </w:tcBorders>
            <w:tcMar>
              <w:top w:w="128" w:type="dxa"/>
              <w:left w:w="43" w:type="dxa"/>
              <w:bottom w:w="43" w:type="dxa"/>
              <w:right w:w="163" w:type="dxa"/>
            </w:tcMar>
          </w:tcPr>
          <w:p w14:paraId="07D0D61E" w14:textId="77777777" w:rsidR="005D314E" w:rsidRPr="00576C3D" w:rsidRDefault="005D314E" w:rsidP="00576C3D">
            <w:r w:rsidRPr="00576C3D">
              <w:t>2804 10 00 – Hydrogen</w:t>
            </w:r>
          </w:p>
        </w:tc>
        <w:tc>
          <w:tcPr>
            <w:tcW w:w="4360" w:type="dxa"/>
            <w:tcBorders>
              <w:top w:val="single" w:sz="4" w:space="0" w:color="000000"/>
              <w:left w:val="nil"/>
              <w:bottom w:val="single" w:sz="4" w:space="0" w:color="000000"/>
              <w:right w:val="nil"/>
            </w:tcBorders>
            <w:tcMar>
              <w:top w:w="128" w:type="dxa"/>
              <w:left w:w="43" w:type="dxa"/>
              <w:bottom w:w="43" w:type="dxa"/>
              <w:right w:w="43" w:type="dxa"/>
            </w:tcMar>
          </w:tcPr>
          <w:p w14:paraId="71B2E3C9" w14:textId="77777777" w:rsidR="005D314E" w:rsidRPr="00576C3D" w:rsidRDefault="005D314E" w:rsidP="00576C3D">
            <w:r w:rsidRPr="00576C3D">
              <w:t>Karbondioksid</w:t>
            </w:r>
          </w:p>
        </w:tc>
      </w:tr>
    </w:tbl>
    <w:p w14:paraId="4F880B3A" w14:textId="77777777" w:rsidR="005D314E" w:rsidRPr="00576C3D" w:rsidRDefault="005D314E" w:rsidP="00576C3D">
      <w:pPr>
        <w:pStyle w:val="avsnitt-undertittel"/>
      </w:pPr>
      <w:r w:rsidRPr="00576C3D">
        <w:t>Vedlegg II</w:t>
      </w:r>
    </w:p>
    <w:p w14:paraId="31238ABC" w14:textId="77777777" w:rsidR="005D314E" w:rsidRPr="00576C3D" w:rsidRDefault="005D314E" w:rsidP="00576C3D">
      <w:pPr>
        <w:pStyle w:val="Undertittel"/>
      </w:pPr>
      <w:r w:rsidRPr="00576C3D">
        <w:t>Liste over varer der det bare skal tas hensyn til direkte utslipp, i henhold til artikkel 7 nr. 1</w:t>
      </w:r>
    </w:p>
    <w:p w14:paraId="3B8E1FE5" w14:textId="77777777" w:rsidR="005D314E" w:rsidRPr="00576C3D" w:rsidRDefault="005D314E" w:rsidP="00CB5976">
      <w:pPr>
        <w:pStyle w:val="Undertittel"/>
      </w:pPr>
      <w:r w:rsidRPr="00576C3D">
        <w:t>Jern og stål</w:t>
      </w:r>
    </w:p>
    <w:p w14:paraId="566A669D" w14:textId="77777777" w:rsidR="005D314E" w:rsidRPr="00576C3D" w:rsidRDefault="005D314E" w:rsidP="00576C3D">
      <w:pPr>
        <w:pStyle w:val="Tabellnavn"/>
      </w:pPr>
      <w:r w:rsidRPr="00576C3D">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220"/>
        <w:gridCol w:w="4360"/>
      </w:tblGrid>
      <w:tr w:rsidR="009D4FD2" w:rsidRPr="00576C3D" w14:paraId="764C9DAE" w14:textId="77777777">
        <w:trPr>
          <w:trHeight w:val="360"/>
        </w:trPr>
        <w:tc>
          <w:tcPr>
            <w:tcW w:w="5220" w:type="dxa"/>
            <w:tcBorders>
              <w:top w:val="single" w:sz="4" w:space="0" w:color="000000"/>
              <w:left w:val="nil"/>
              <w:bottom w:val="single" w:sz="4" w:space="0" w:color="000000"/>
              <w:right w:val="nil"/>
            </w:tcBorders>
            <w:tcMar>
              <w:top w:w="128" w:type="dxa"/>
              <w:left w:w="43" w:type="dxa"/>
              <w:bottom w:w="43" w:type="dxa"/>
              <w:right w:w="163" w:type="dxa"/>
            </w:tcMar>
            <w:vAlign w:val="bottom"/>
          </w:tcPr>
          <w:p w14:paraId="4AEF6762" w14:textId="77777777" w:rsidR="005D314E" w:rsidRPr="00576C3D" w:rsidRDefault="005D314E" w:rsidP="00576C3D">
            <w:r w:rsidRPr="00576C3D">
              <w:t>KN-kode</w:t>
            </w:r>
          </w:p>
        </w:tc>
        <w:tc>
          <w:tcPr>
            <w:tcW w:w="4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5DE5FA" w14:textId="77777777" w:rsidR="005D314E" w:rsidRPr="00576C3D" w:rsidRDefault="005D314E" w:rsidP="00576C3D">
            <w:r w:rsidRPr="00576C3D">
              <w:t>Klimagass</w:t>
            </w:r>
          </w:p>
        </w:tc>
      </w:tr>
      <w:tr w:rsidR="009D4FD2" w:rsidRPr="00576C3D" w14:paraId="071F5B2A" w14:textId="77777777">
        <w:trPr>
          <w:trHeight w:val="4220"/>
        </w:trPr>
        <w:tc>
          <w:tcPr>
            <w:tcW w:w="5220" w:type="dxa"/>
            <w:tcBorders>
              <w:top w:val="single" w:sz="4" w:space="0" w:color="000000"/>
              <w:left w:val="nil"/>
              <w:bottom w:val="nil"/>
              <w:right w:val="nil"/>
            </w:tcBorders>
            <w:tcMar>
              <w:top w:w="128" w:type="dxa"/>
              <w:left w:w="43" w:type="dxa"/>
              <w:bottom w:w="43" w:type="dxa"/>
              <w:right w:w="163" w:type="dxa"/>
            </w:tcMar>
          </w:tcPr>
          <w:p w14:paraId="744A11B2" w14:textId="77777777" w:rsidR="005D314E" w:rsidRPr="00576C3D" w:rsidRDefault="005D314E" w:rsidP="00576C3D">
            <w:r w:rsidRPr="00576C3D">
              <w:t>72 –</w:t>
            </w:r>
            <w:r w:rsidRPr="00576C3D">
              <w:tab/>
              <w:t>Jern og stål</w:t>
            </w:r>
          </w:p>
          <w:p w14:paraId="5895D2AC" w14:textId="77777777" w:rsidR="005D314E" w:rsidRPr="00576C3D" w:rsidRDefault="005D314E" w:rsidP="00576C3D">
            <w:r w:rsidRPr="00576C3D">
              <w:t>Unntak:</w:t>
            </w:r>
          </w:p>
          <w:p w14:paraId="06BFF7D0" w14:textId="77777777" w:rsidR="005D314E" w:rsidRPr="00576C3D" w:rsidRDefault="005D314E" w:rsidP="00576C3D">
            <w:r w:rsidRPr="00576C3D">
              <w:t>7202 2 – Ferrosilisium</w:t>
            </w:r>
          </w:p>
          <w:p w14:paraId="0D92AC8D" w14:textId="77777777" w:rsidR="005D314E" w:rsidRPr="00576C3D" w:rsidRDefault="005D314E" w:rsidP="00576C3D">
            <w:r w:rsidRPr="00576C3D">
              <w:t xml:space="preserve">7202 30 00 – </w:t>
            </w:r>
            <w:proofErr w:type="spellStart"/>
            <w:r w:rsidRPr="00576C3D">
              <w:t>Ferrosilikomangan</w:t>
            </w:r>
            <w:proofErr w:type="spellEnd"/>
          </w:p>
          <w:p w14:paraId="4EF2435C" w14:textId="77777777" w:rsidR="005D314E" w:rsidRPr="00576C3D" w:rsidRDefault="005D314E" w:rsidP="00576C3D">
            <w:r w:rsidRPr="00576C3D">
              <w:t xml:space="preserve">7202 50 00 – </w:t>
            </w:r>
            <w:proofErr w:type="spellStart"/>
            <w:r w:rsidRPr="00576C3D">
              <w:t>Ferrosilikokrom</w:t>
            </w:r>
            <w:proofErr w:type="spellEnd"/>
          </w:p>
          <w:p w14:paraId="3F0F0BB8" w14:textId="77777777" w:rsidR="005D314E" w:rsidRPr="00576C3D" w:rsidRDefault="005D314E" w:rsidP="00576C3D">
            <w:r w:rsidRPr="00576C3D">
              <w:t>7202 70 00 – Ferromolybden</w:t>
            </w:r>
          </w:p>
          <w:p w14:paraId="3F416FE1" w14:textId="77777777" w:rsidR="005D314E" w:rsidRPr="00576C3D" w:rsidRDefault="005D314E" w:rsidP="00576C3D">
            <w:r w:rsidRPr="00576C3D">
              <w:t xml:space="preserve">7202 80 00 – Ferrowolfram og </w:t>
            </w:r>
            <w:proofErr w:type="spellStart"/>
            <w:r w:rsidRPr="00576C3D">
              <w:t>ferrosilikowolfram</w:t>
            </w:r>
            <w:proofErr w:type="spellEnd"/>
          </w:p>
          <w:p w14:paraId="4C6DE301" w14:textId="77777777" w:rsidR="005D314E" w:rsidRPr="00576C3D" w:rsidRDefault="005D314E" w:rsidP="00576C3D">
            <w:r w:rsidRPr="00576C3D">
              <w:t xml:space="preserve">7202 91 00 – Ferrotitan og </w:t>
            </w:r>
            <w:proofErr w:type="spellStart"/>
            <w:r w:rsidRPr="00576C3D">
              <w:t>ferrosilikotitan</w:t>
            </w:r>
            <w:proofErr w:type="spellEnd"/>
          </w:p>
          <w:p w14:paraId="2EAA7628" w14:textId="77777777" w:rsidR="005D314E" w:rsidRPr="00576C3D" w:rsidRDefault="005D314E" w:rsidP="00576C3D">
            <w:r w:rsidRPr="00576C3D">
              <w:t>7202 92 00 – Ferrovanadium</w:t>
            </w:r>
          </w:p>
          <w:p w14:paraId="5C83995F" w14:textId="77777777" w:rsidR="005D314E" w:rsidRPr="00576C3D" w:rsidRDefault="005D314E" w:rsidP="00576C3D">
            <w:r w:rsidRPr="00576C3D">
              <w:t>7202 93 00 – Ferroniob</w:t>
            </w:r>
          </w:p>
          <w:p w14:paraId="3F9FBE3C" w14:textId="77777777" w:rsidR="005D314E" w:rsidRPr="00576C3D" w:rsidRDefault="005D314E" w:rsidP="00576C3D">
            <w:r w:rsidRPr="00576C3D">
              <w:t>7202 99 – Annet:</w:t>
            </w:r>
          </w:p>
          <w:p w14:paraId="6E51CCC6" w14:textId="77777777" w:rsidR="005D314E" w:rsidRPr="00576C3D" w:rsidRDefault="005D314E" w:rsidP="00576C3D">
            <w:r w:rsidRPr="00576C3D">
              <w:t>7202 99 10 – Ferrofosfor</w:t>
            </w:r>
          </w:p>
          <w:p w14:paraId="5329C4FC" w14:textId="77777777" w:rsidR="005D314E" w:rsidRPr="00576C3D" w:rsidRDefault="005D314E" w:rsidP="00576C3D">
            <w:r w:rsidRPr="00576C3D">
              <w:t xml:space="preserve">7202 99 30 – </w:t>
            </w:r>
            <w:proofErr w:type="spellStart"/>
            <w:r w:rsidRPr="00576C3D">
              <w:t>Ferrosilikomagnesium</w:t>
            </w:r>
            <w:proofErr w:type="spellEnd"/>
          </w:p>
          <w:p w14:paraId="0476D789" w14:textId="77777777" w:rsidR="005D314E" w:rsidRPr="00576C3D" w:rsidRDefault="005D314E" w:rsidP="00576C3D">
            <w:r w:rsidRPr="00576C3D">
              <w:t>7202 99 80 – Andre</w:t>
            </w:r>
          </w:p>
          <w:p w14:paraId="5E374A08" w14:textId="77777777" w:rsidR="005D314E" w:rsidRPr="00576C3D" w:rsidRDefault="005D314E" w:rsidP="00576C3D">
            <w:r w:rsidRPr="00576C3D">
              <w:t xml:space="preserve">7204 – Avfall og skrap av jern og stål; </w:t>
            </w:r>
            <w:proofErr w:type="spellStart"/>
            <w:r w:rsidRPr="00576C3D">
              <w:t>støpeblokker</w:t>
            </w:r>
            <w:proofErr w:type="spellEnd"/>
            <w:r w:rsidRPr="00576C3D">
              <w:t xml:space="preserve"> framstilt ved omsmelting av skrap av jern eller stål</w:t>
            </w:r>
          </w:p>
        </w:tc>
        <w:tc>
          <w:tcPr>
            <w:tcW w:w="4360" w:type="dxa"/>
            <w:tcBorders>
              <w:top w:val="single" w:sz="4" w:space="0" w:color="000000"/>
              <w:left w:val="nil"/>
              <w:bottom w:val="nil"/>
              <w:right w:val="nil"/>
            </w:tcBorders>
            <w:tcMar>
              <w:top w:w="128" w:type="dxa"/>
              <w:left w:w="43" w:type="dxa"/>
              <w:bottom w:w="43" w:type="dxa"/>
              <w:right w:w="43" w:type="dxa"/>
            </w:tcMar>
          </w:tcPr>
          <w:p w14:paraId="0A1FF5A4" w14:textId="77777777" w:rsidR="005D314E" w:rsidRPr="00576C3D" w:rsidRDefault="005D314E" w:rsidP="00576C3D">
            <w:r w:rsidRPr="00576C3D">
              <w:t>Karbondioksid</w:t>
            </w:r>
          </w:p>
        </w:tc>
      </w:tr>
      <w:tr w:rsidR="009D4FD2" w:rsidRPr="00576C3D" w14:paraId="3EA27794" w14:textId="77777777">
        <w:trPr>
          <w:trHeight w:val="640"/>
        </w:trPr>
        <w:tc>
          <w:tcPr>
            <w:tcW w:w="5220" w:type="dxa"/>
            <w:tcBorders>
              <w:top w:val="nil"/>
              <w:left w:val="nil"/>
              <w:bottom w:val="nil"/>
              <w:right w:val="nil"/>
            </w:tcBorders>
            <w:tcMar>
              <w:top w:w="128" w:type="dxa"/>
              <w:left w:w="43" w:type="dxa"/>
              <w:bottom w:w="43" w:type="dxa"/>
              <w:right w:w="163" w:type="dxa"/>
            </w:tcMar>
          </w:tcPr>
          <w:p w14:paraId="58F911C7" w14:textId="77777777" w:rsidR="005D314E" w:rsidRPr="00576C3D" w:rsidRDefault="005D314E" w:rsidP="00576C3D">
            <w:r w:rsidRPr="00576C3D">
              <w:t xml:space="preserve">7301 – </w:t>
            </w:r>
            <w:proofErr w:type="spellStart"/>
            <w:r w:rsidRPr="00576C3D">
              <w:t>Spundveggjern</w:t>
            </w:r>
            <w:proofErr w:type="spellEnd"/>
            <w:r w:rsidRPr="00576C3D">
              <w:t xml:space="preserve"> av jern eller stål, også med hull eller sammensatte; sveisede profiler av jern eller stål</w:t>
            </w:r>
          </w:p>
        </w:tc>
        <w:tc>
          <w:tcPr>
            <w:tcW w:w="4360" w:type="dxa"/>
            <w:tcBorders>
              <w:top w:val="nil"/>
              <w:left w:val="nil"/>
              <w:bottom w:val="nil"/>
              <w:right w:val="nil"/>
            </w:tcBorders>
            <w:tcMar>
              <w:top w:w="128" w:type="dxa"/>
              <w:left w:w="43" w:type="dxa"/>
              <w:bottom w:w="43" w:type="dxa"/>
              <w:right w:w="43" w:type="dxa"/>
            </w:tcMar>
          </w:tcPr>
          <w:p w14:paraId="662BEFFC" w14:textId="77777777" w:rsidR="005D314E" w:rsidRPr="00576C3D" w:rsidRDefault="005D314E" w:rsidP="00576C3D">
            <w:r w:rsidRPr="00576C3D">
              <w:t>Karbondioksid</w:t>
            </w:r>
          </w:p>
        </w:tc>
      </w:tr>
      <w:tr w:rsidR="009D4FD2" w:rsidRPr="00576C3D" w14:paraId="795DD912" w14:textId="77777777">
        <w:trPr>
          <w:trHeight w:val="1920"/>
        </w:trPr>
        <w:tc>
          <w:tcPr>
            <w:tcW w:w="5220" w:type="dxa"/>
            <w:tcBorders>
              <w:top w:val="nil"/>
              <w:left w:val="nil"/>
              <w:bottom w:val="nil"/>
              <w:right w:val="nil"/>
            </w:tcBorders>
            <w:tcMar>
              <w:top w:w="128" w:type="dxa"/>
              <w:left w:w="43" w:type="dxa"/>
              <w:bottom w:w="43" w:type="dxa"/>
              <w:right w:w="163" w:type="dxa"/>
            </w:tcMar>
          </w:tcPr>
          <w:p w14:paraId="79D24B38" w14:textId="77777777" w:rsidR="005D314E" w:rsidRPr="00576C3D" w:rsidRDefault="005D314E" w:rsidP="00576C3D">
            <w:r w:rsidRPr="00576C3D">
              <w:t xml:space="preserve">7302 – Følgende skinnemateriell av jern eller stål, til jernbaner eller sporveger: skinner, motskinner og tannskinner, sporvekseltunger, sporkryss, sporvekselstag og andre deler til sporveksler, sviller, lasker, </w:t>
            </w:r>
            <w:proofErr w:type="spellStart"/>
            <w:r w:rsidRPr="00576C3D">
              <w:t>skinnestoler</w:t>
            </w:r>
            <w:proofErr w:type="spellEnd"/>
            <w:r w:rsidRPr="00576C3D">
              <w:t xml:space="preserve">, </w:t>
            </w:r>
            <w:proofErr w:type="spellStart"/>
            <w:r w:rsidRPr="00576C3D">
              <w:t>stolkiler</w:t>
            </w:r>
            <w:proofErr w:type="spellEnd"/>
            <w:r w:rsidRPr="00576C3D">
              <w:t>, underlagsplater, klemplater, traversjern og annet spesielt materiell til sammenføyning eller festing av skinner</w:t>
            </w:r>
          </w:p>
        </w:tc>
        <w:tc>
          <w:tcPr>
            <w:tcW w:w="4360" w:type="dxa"/>
            <w:tcBorders>
              <w:top w:val="nil"/>
              <w:left w:val="nil"/>
              <w:bottom w:val="nil"/>
              <w:right w:val="nil"/>
            </w:tcBorders>
            <w:tcMar>
              <w:top w:w="128" w:type="dxa"/>
              <w:left w:w="43" w:type="dxa"/>
              <w:bottom w:w="43" w:type="dxa"/>
              <w:right w:w="43" w:type="dxa"/>
            </w:tcMar>
          </w:tcPr>
          <w:p w14:paraId="139C971C" w14:textId="77777777" w:rsidR="005D314E" w:rsidRPr="00576C3D" w:rsidRDefault="005D314E" w:rsidP="00576C3D">
            <w:r w:rsidRPr="00576C3D">
              <w:t>Karbondioksid</w:t>
            </w:r>
          </w:p>
        </w:tc>
      </w:tr>
      <w:tr w:rsidR="009D4FD2" w:rsidRPr="00576C3D" w14:paraId="3783D0F2" w14:textId="77777777">
        <w:trPr>
          <w:trHeight w:val="640"/>
        </w:trPr>
        <w:tc>
          <w:tcPr>
            <w:tcW w:w="5220" w:type="dxa"/>
            <w:tcBorders>
              <w:top w:val="nil"/>
              <w:left w:val="nil"/>
              <w:bottom w:val="nil"/>
              <w:right w:val="nil"/>
            </w:tcBorders>
            <w:tcMar>
              <w:top w:w="128" w:type="dxa"/>
              <w:left w:w="43" w:type="dxa"/>
              <w:bottom w:w="43" w:type="dxa"/>
              <w:right w:w="163" w:type="dxa"/>
            </w:tcMar>
          </w:tcPr>
          <w:p w14:paraId="205D87D2" w14:textId="77777777" w:rsidR="005D314E" w:rsidRPr="00576C3D" w:rsidRDefault="005D314E" w:rsidP="00576C3D">
            <w:r w:rsidRPr="00576C3D">
              <w:t>7303 00 – Rør, rørledninger og hule profiler av støpejern</w:t>
            </w:r>
          </w:p>
        </w:tc>
        <w:tc>
          <w:tcPr>
            <w:tcW w:w="4360" w:type="dxa"/>
            <w:tcBorders>
              <w:top w:val="nil"/>
              <w:left w:val="nil"/>
              <w:bottom w:val="nil"/>
              <w:right w:val="nil"/>
            </w:tcBorders>
            <w:tcMar>
              <w:top w:w="128" w:type="dxa"/>
              <w:left w:w="43" w:type="dxa"/>
              <w:bottom w:w="43" w:type="dxa"/>
              <w:right w:w="43" w:type="dxa"/>
            </w:tcMar>
          </w:tcPr>
          <w:p w14:paraId="3F303591" w14:textId="77777777" w:rsidR="005D314E" w:rsidRPr="00576C3D" w:rsidRDefault="005D314E" w:rsidP="00576C3D">
            <w:r w:rsidRPr="00576C3D">
              <w:t>Karbondioksid</w:t>
            </w:r>
          </w:p>
        </w:tc>
      </w:tr>
      <w:tr w:rsidR="009D4FD2" w:rsidRPr="00576C3D" w14:paraId="4D2C6ACF" w14:textId="77777777">
        <w:trPr>
          <w:trHeight w:val="640"/>
        </w:trPr>
        <w:tc>
          <w:tcPr>
            <w:tcW w:w="5220" w:type="dxa"/>
            <w:tcBorders>
              <w:top w:val="nil"/>
              <w:left w:val="nil"/>
              <w:bottom w:val="nil"/>
              <w:right w:val="nil"/>
            </w:tcBorders>
            <w:tcMar>
              <w:top w:w="128" w:type="dxa"/>
              <w:left w:w="43" w:type="dxa"/>
              <w:bottom w:w="43" w:type="dxa"/>
              <w:right w:w="163" w:type="dxa"/>
            </w:tcMar>
          </w:tcPr>
          <w:p w14:paraId="56F3A283" w14:textId="23B4E8C4" w:rsidR="005D314E" w:rsidRPr="00576C3D" w:rsidRDefault="005D314E" w:rsidP="00576C3D">
            <w:r w:rsidRPr="00576C3D">
              <w:t>7304 – Rør og hule profiler, sømløse, av jern (unntatt støpejern) eller stål</w:t>
            </w:r>
          </w:p>
        </w:tc>
        <w:tc>
          <w:tcPr>
            <w:tcW w:w="4360" w:type="dxa"/>
            <w:tcBorders>
              <w:top w:val="nil"/>
              <w:left w:val="nil"/>
              <w:bottom w:val="nil"/>
              <w:right w:val="nil"/>
            </w:tcBorders>
            <w:tcMar>
              <w:top w:w="128" w:type="dxa"/>
              <w:left w:w="43" w:type="dxa"/>
              <w:bottom w:w="43" w:type="dxa"/>
              <w:right w:w="43" w:type="dxa"/>
            </w:tcMar>
          </w:tcPr>
          <w:p w14:paraId="5BAE6A2F" w14:textId="77777777" w:rsidR="005D314E" w:rsidRPr="00576C3D" w:rsidRDefault="005D314E" w:rsidP="00576C3D">
            <w:r w:rsidRPr="00576C3D">
              <w:t>Karbondioksid</w:t>
            </w:r>
          </w:p>
        </w:tc>
      </w:tr>
      <w:tr w:rsidR="009D4FD2" w:rsidRPr="00576C3D" w14:paraId="7ED058B6" w14:textId="77777777">
        <w:trPr>
          <w:trHeight w:val="880"/>
        </w:trPr>
        <w:tc>
          <w:tcPr>
            <w:tcW w:w="5220" w:type="dxa"/>
            <w:tcBorders>
              <w:top w:val="nil"/>
              <w:left w:val="nil"/>
              <w:bottom w:val="nil"/>
              <w:right w:val="nil"/>
            </w:tcBorders>
            <w:tcMar>
              <w:top w:w="128" w:type="dxa"/>
              <w:left w:w="43" w:type="dxa"/>
              <w:bottom w:w="43" w:type="dxa"/>
              <w:right w:w="163" w:type="dxa"/>
            </w:tcMar>
          </w:tcPr>
          <w:p w14:paraId="3C0A69F5" w14:textId="77777777" w:rsidR="005D314E" w:rsidRPr="00576C3D" w:rsidRDefault="005D314E" w:rsidP="00576C3D">
            <w:r w:rsidRPr="00576C3D">
              <w:t>7305 – Andre rør (f.eks. sveisede, naglede eller falsede), med sirkelrunde tverrsnitt og med ytre diameter over 406,4 mm, av jern eller stål</w:t>
            </w:r>
          </w:p>
        </w:tc>
        <w:tc>
          <w:tcPr>
            <w:tcW w:w="4360" w:type="dxa"/>
            <w:tcBorders>
              <w:top w:val="nil"/>
              <w:left w:val="nil"/>
              <w:bottom w:val="nil"/>
              <w:right w:val="nil"/>
            </w:tcBorders>
            <w:tcMar>
              <w:top w:w="128" w:type="dxa"/>
              <w:left w:w="43" w:type="dxa"/>
              <w:bottom w:w="43" w:type="dxa"/>
              <w:right w:w="43" w:type="dxa"/>
            </w:tcMar>
          </w:tcPr>
          <w:p w14:paraId="768F9EE9" w14:textId="77777777" w:rsidR="005D314E" w:rsidRPr="00576C3D" w:rsidRDefault="005D314E" w:rsidP="00576C3D">
            <w:r w:rsidRPr="00576C3D">
              <w:t>Karbondioksid</w:t>
            </w:r>
          </w:p>
        </w:tc>
      </w:tr>
      <w:tr w:rsidR="009D4FD2" w:rsidRPr="00576C3D" w14:paraId="38931D00" w14:textId="77777777">
        <w:trPr>
          <w:trHeight w:val="640"/>
        </w:trPr>
        <w:tc>
          <w:tcPr>
            <w:tcW w:w="5220" w:type="dxa"/>
            <w:tcBorders>
              <w:top w:val="nil"/>
              <w:left w:val="nil"/>
              <w:bottom w:val="nil"/>
              <w:right w:val="nil"/>
            </w:tcBorders>
            <w:tcMar>
              <w:top w:w="128" w:type="dxa"/>
              <w:left w:w="43" w:type="dxa"/>
              <w:bottom w:w="43" w:type="dxa"/>
              <w:right w:w="163" w:type="dxa"/>
            </w:tcMar>
          </w:tcPr>
          <w:p w14:paraId="19E838ED" w14:textId="77777777" w:rsidR="005D314E" w:rsidRPr="00576C3D" w:rsidRDefault="005D314E" w:rsidP="00576C3D">
            <w:r w:rsidRPr="00576C3D">
              <w:t>7306 – Andre rør og hule profiler (f.eks. med åpen søm, sveisede, naglede eller falsede), av jern eller stål</w:t>
            </w:r>
          </w:p>
        </w:tc>
        <w:tc>
          <w:tcPr>
            <w:tcW w:w="4360" w:type="dxa"/>
            <w:tcBorders>
              <w:top w:val="nil"/>
              <w:left w:val="nil"/>
              <w:bottom w:val="nil"/>
              <w:right w:val="nil"/>
            </w:tcBorders>
            <w:tcMar>
              <w:top w:w="128" w:type="dxa"/>
              <w:left w:w="43" w:type="dxa"/>
              <w:bottom w:w="43" w:type="dxa"/>
              <w:right w:w="43" w:type="dxa"/>
            </w:tcMar>
          </w:tcPr>
          <w:p w14:paraId="7CDCAAD8" w14:textId="77777777" w:rsidR="005D314E" w:rsidRPr="00576C3D" w:rsidRDefault="005D314E" w:rsidP="00576C3D">
            <w:r w:rsidRPr="00576C3D">
              <w:t>Karbondioksid</w:t>
            </w:r>
          </w:p>
        </w:tc>
      </w:tr>
      <w:tr w:rsidR="009D4FD2" w:rsidRPr="00576C3D" w14:paraId="1B48B8F5" w14:textId="77777777">
        <w:trPr>
          <w:trHeight w:val="640"/>
        </w:trPr>
        <w:tc>
          <w:tcPr>
            <w:tcW w:w="5220" w:type="dxa"/>
            <w:tcBorders>
              <w:top w:val="nil"/>
              <w:left w:val="nil"/>
              <w:bottom w:val="nil"/>
              <w:right w:val="nil"/>
            </w:tcBorders>
            <w:tcMar>
              <w:top w:w="128" w:type="dxa"/>
              <w:left w:w="43" w:type="dxa"/>
              <w:bottom w:w="43" w:type="dxa"/>
              <w:right w:w="163" w:type="dxa"/>
            </w:tcMar>
          </w:tcPr>
          <w:p w14:paraId="7ECC5EA4" w14:textId="77777777" w:rsidR="005D314E" w:rsidRPr="00576C3D" w:rsidRDefault="005D314E" w:rsidP="00576C3D">
            <w:r w:rsidRPr="00576C3D">
              <w:t>7307 – Rørdeler (fittings) (f.eks. forbindelsesstykker, knær, muffer), av jern eller stål</w:t>
            </w:r>
          </w:p>
        </w:tc>
        <w:tc>
          <w:tcPr>
            <w:tcW w:w="4360" w:type="dxa"/>
            <w:tcBorders>
              <w:top w:val="nil"/>
              <w:left w:val="nil"/>
              <w:bottom w:val="nil"/>
              <w:right w:val="nil"/>
            </w:tcBorders>
            <w:tcMar>
              <w:top w:w="128" w:type="dxa"/>
              <w:left w:w="43" w:type="dxa"/>
              <w:bottom w:w="43" w:type="dxa"/>
              <w:right w:w="43" w:type="dxa"/>
            </w:tcMar>
          </w:tcPr>
          <w:p w14:paraId="0157AB06" w14:textId="77777777" w:rsidR="005D314E" w:rsidRPr="00576C3D" w:rsidRDefault="005D314E" w:rsidP="00576C3D">
            <w:r w:rsidRPr="00576C3D">
              <w:t>Karbondioksid</w:t>
            </w:r>
          </w:p>
        </w:tc>
      </w:tr>
      <w:tr w:rsidR="009D4FD2" w:rsidRPr="00576C3D" w14:paraId="503E93E1" w14:textId="77777777">
        <w:trPr>
          <w:trHeight w:val="2160"/>
        </w:trPr>
        <w:tc>
          <w:tcPr>
            <w:tcW w:w="5220" w:type="dxa"/>
            <w:tcBorders>
              <w:top w:val="nil"/>
              <w:left w:val="nil"/>
              <w:bottom w:val="nil"/>
              <w:right w:val="nil"/>
            </w:tcBorders>
            <w:tcMar>
              <w:top w:w="128" w:type="dxa"/>
              <w:left w:w="43" w:type="dxa"/>
              <w:bottom w:w="43" w:type="dxa"/>
              <w:right w:w="163" w:type="dxa"/>
            </w:tcMar>
          </w:tcPr>
          <w:p w14:paraId="4FEC5630" w14:textId="77777777" w:rsidR="005D314E" w:rsidRPr="00576C3D" w:rsidRDefault="005D314E" w:rsidP="00576C3D">
            <w:r w:rsidRPr="00576C3D">
              <w:t>7308 – Jern- og stålkonstruksjoner (unntatt prefabrikkerte bygninger som hører under posisjon 94.06) og deler dertil (f.eks. bruer og bruseksjoner, sluseporter, tårn, master, tak, taksperrer, dører og vinduer samt rammer og karmer dertil og dørterskler, skodder, rekkverk, søyler og pilarer), av jern eller stål; plater, stenger, profiler, rør og liknende av jern eller stål, bearbeidde til bruk i konstruksjoner</w:t>
            </w:r>
          </w:p>
        </w:tc>
        <w:tc>
          <w:tcPr>
            <w:tcW w:w="4360" w:type="dxa"/>
            <w:tcBorders>
              <w:top w:val="nil"/>
              <w:left w:val="nil"/>
              <w:bottom w:val="nil"/>
              <w:right w:val="nil"/>
            </w:tcBorders>
            <w:tcMar>
              <w:top w:w="128" w:type="dxa"/>
              <w:left w:w="43" w:type="dxa"/>
              <w:bottom w:w="43" w:type="dxa"/>
              <w:right w:w="43" w:type="dxa"/>
            </w:tcMar>
          </w:tcPr>
          <w:p w14:paraId="38B343D8" w14:textId="77777777" w:rsidR="005D314E" w:rsidRPr="00576C3D" w:rsidRDefault="005D314E" w:rsidP="00576C3D">
            <w:r w:rsidRPr="00576C3D">
              <w:t>Karbondioksid</w:t>
            </w:r>
          </w:p>
        </w:tc>
      </w:tr>
      <w:tr w:rsidR="009D4FD2" w:rsidRPr="00576C3D" w14:paraId="62A7DC83" w14:textId="77777777">
        <w:trPr>
          <w:trHeight w:val="1400"/>
        </w:trPr>
        <w:tc>
          <w:tcPr>
            <w:tcW w:w="5220" w:type="dxa"/>
            <w:tcBorders>
              <w:top w:val="nil"/>
              <w:left w:val="nil"/>
              <w:bottom w:val="nil"/>
              <w:right w:val="nil"/>
            </w:tcBorders>
            <w:tcMar>
              <w:top w:w="128" w:type="dxa"/>
              <w:left w:w="43" w:type="dxa"/>
              <w:bottom w:w="43" w:type="dxa"/>
              <w:right w:w="163" w:type="dxa"/>
            </w:tcMar>
          </w:tcPr>
          <w:p w14:paraId="0BBBF37C" w14:textId="77777777" w:rsidR="005D314E" w:rsidRPr="00576C3D" w:rsidRDefault="005D314E" w:rsidP="00576C3D">
            <w:r w:rsidRPr="00576C3D">
              <w:t>7309 00 – Tanker, kar og lignende beholdere, av jern eller stål, for ethvert materiale (unntatt beholdere for komprimerte eller flytende gasser) med kapasitet over 300 liter, også fôret eller varmeisolert, men uten mekanisk eller termisk utstyr</w:t>
            </w:r>
          </w:p>
        </w:tc>
        <w:tc>
          <w:tcPr>
            <w:tcW w:w="4360" w:type="dxa"/>
            <w:tcBorders>
              <w:top w:val="nil"/>
              <w:left w:val="nil"/>
              <w:bottom w:val="nil"/>
              <w:right w:val="nil"/>
            </w:tcBorders>
            <w:tcMar>
              <w:top w:w="128" w:type="dxa"/>
              <w:left w:w="43" w:type="dxa"/>
              <w:bottom w:w="43" w:type="dxa"/>
              <w:right w:w="43" w:type="dxa"/>
            </w:tcMar>
          </w:tcPr>
          <w:p w14:paraId="4478A03B" w14:textId="77777777" w:rsidR="005D314E" w:rsidRPr="00576C3D" w:rsidRDefault="005D314E" w:rsidP="00576C3D">
            <w:r w:rsidRPr="00576C3D">
              <w:t>Karbondioksid</w:t>
            </w:r>
          </w:p>
        </w:tc>
      </w:tr>
      <w:tr w:rsidR="009D4FD2" w:rsidRPr="00576C3D" w14:paraId="125C0063" w14:textId="77777777">
        <w:trPr>
          <w:trHeight w:val="1660"/>
        </w:trPr>
        <w:tc>
          <w:tcPr>
            <w:tcW w:w="5220" w:type="dxa"/>
            <w:tcBorders>
              <w:top w:val="nil"/>
              <w:left w:val="nil"/>
              <w:bottom w:val="nil"/>
              <w:right w:val="nil"/>
            </w:tcBorders>
            <w:tcMar>
              <w:top w:w="128" w:type="dxa"/>
              <w:left w:w="43" w:type="dxa"/>
              <w:bottom w:w="43" w:type="dxa"/>
              <w:right w:w="163" w:type="dxa"/>
            </w:tcMar>
          </w:tcPr>
          <w:p w14:paraId="5CC368B4" w14:textId="77777777" w:rsidR="005D314E" w:rsidRPr="00576C3D" w:rsidRDefault="005D314E" w:rsidP="00576C3D">
            <w:r w:rsidRPr="00576C3D">
              <w:t>7310 – Tanker, fat, tromler, spann, bokser, esker og liknende beholdere, av jern eller stål, for ethvert materiale (unntatt beholdere for komprimerte eller flytende gasser), med rominnhold høyst 300 liter, også fôret eller varmeisolert, men uten mekanisk eller termisk utstyr</w:t>
            </w:r>
          </w:p>
        </w:tc>
        <w:tc>
          <w:tcPr>
            <w:tcW w:w="4360" w:type="dxa"/>
            <w:tcBorders>
              <w:top w:val="nil"/>
              <w:left w:val="nil"/>
              <w:bottom w:val="nil"/>
              <w:right w:val="nil"/>
            </w:tcBorders>
            <w:tcMar>
              <w:top w:w="128" w:type="dxa"/>
              <w:left w:w="43" w:type="dxa"/>
              <w:bottom w:w="43" w:type="dxa"/>
              <w:right w:w="43" w:type="dxa"/>
            </w:tcMar>
          </w:tcPr>
          <w:p w14:paraId="4F94966F" w14:textId="77777777" w:rsidR="005D314E" w:rsidRPr="00576C3D" w:rsidRDefault="005D314E" w:rsidP="00576C3D">
            <w:r w:rsidRPr="00576C3D">
              <w:t>Karbondioksid</w:t>
            </w:r>
          </w:p>
        </w:tc>
      </w:tr>
      <w:tr w:rsidR="009D4FD2" w:rsidRPr="00576C3D" w14:paraId="47C5EF40" w14:textId="77777777">
        <w:trPr>
          <w:trHeight w:val="640"/>
        </w:trPr>
        <w:tc>
          <w:tcPr>
            <w:tcW w:w="5220" w:type="dxa"/>
            <w:tcBorders>
              <w:top w:val="nil"/>
              <w:left w:val="nil"/>
              <w:bottom w:val="nil"/>
              <w:right w:val="nil"/>
            </w:tcBorders>
            <w:tcMar>
              <w:top w:w="128" w:type="dxa"/>
              <w:left w:w="43" w:type="dxa"/>
              <w:bottom w:w="43" w:type="dxa"/>
              <w:right w:w="163" w:type="dxa"/>
            </w:tcMar>
          </w:tcPr>
          <w:p w14:paraId="6E878431" w14:textId="77777777" w:rsidR="005D314E" w:rsidRPr="00576C3D" w:rsidRDefault="005D314E" w:rsidP="00576C3D">
            <w:r w:rsidRPr="00576C3D">
              <w:t>7311 00 – Beholdere av jern eller stål for komprimerte eller flytende gasser</w:t>
            </w:r>
          </w:p>
        </w:tc>
        <w:tc>
          <w:tcPr>
            <w:tcW w:w="4360" w:type="dxa"/>
            <w:tcBorders>
              <w:top w:val="nil"/>
              <w:left w:val="nil"/>
              <w:bottom w:val="nil"/>
              <w:right w:val="nil"/>
            </w:tcBorders>
            <w:tcMar>
              <w:top w:w="128" w:type="dxa"/>
              <w:left w:w="43" w:type="dxa"/>
              <w:bottom w:w="43" w:type="dxa"/>
              <w:right w:w="43" w:type="dxa"/>
            </w:tcMar>
          </w:tcPr>
          <w:p w14:paraId="5FE74EC6" w14:textId="77777777" w:rsidR="005D314E" w:rsidRPr="00576C3D" w:rsidRDefault="005D314E" w:rsidP="00576C3D">
            <w:r w:rsidRPr="00576C3D">
              <w:t>Karbondioksid</w:t>
            </w:r>
          </w:p>
        </w:tc>
      </w:tr>
      <w:tr w:rsidR="009D4FD2" w:rsidRPr="00576C3D" w14:paraId="099CE32C" w14:textId="77777777">
        <w:trPr>
          <w:trHeight w:val="1140"/>
        </w:trPr>
        <w:tc>
          <w:tcPr>
            <w:tcW w:w="5220" w:type="dxa"/>
            <w:tcBorders>
              <w:top w:val="nil"/>
              <w:left w:val="nil"/>
              <w:bottom w:val="nil"/>
              <w:right w:val="nil"/>
            </w:tcBorders>
            <w:tcMar>
              <w:top w:w="128" w:type="dxa"/>
              <w:left w:w="43" w:type="dxa"/>
              <w:bottom w:w="43" w:type="dxa"/>
              <w:right w:w="163" w:type="dxa"/>
            </w:tcMar>
          </w:tcPr>
          <w:p w14:paraId="0F78449E" w14:textId="77777777" w:rsidR="005D314E" w:rsidRPr="00576C3D" w:rsidRDefault="005D314E" w:rsidP="00576C3D">
            <w:r w:rsidRPr="00576C3D">
              <w:t xml:space="preserve">7318 – Skruer, bolter, muttere, skinneskruer (franske </w:t>
            </w:r>
            <w:proofErr w:type="spellStart"/>
            <w:r w:rsidRPr="00576C3D">
              <w:t>treskruer</w:t>
            </w:r>
            <w:proofErr w:type="spellEnd"/>
            <w:r w:rsidRPr="00576C3D">
              <w:t>), skruekroker, nagler, kiler, splittpinner, underlagsskiver (herunder sprengskiver) og liknende varer, av jern eller stål</w:t>
            </w:r>
          </w:p>
        </w:tc>
        <w:tc>
          <w:tcPr>
            <w:tcW w:w="4360" w:type="dxa"/>
            <w:tcBorders>
              <w:top w:val="nil"/>
              <w:left w:val="nil"/>
              <w:bottom w:val="nil"/>
              <w:right w:val="nil"/>
            </w:tcBorders>
            <w:tcMar>
              <w:top w:w="128" w:type="dxa"/>
              <w:left w:w="43" w:type="dxa"/>
              <w:bottom w:w="43" w:type="dxa"/>
              <w:right w:w="43" w:type="dxa"/>
            </w:tcMar>
          </w:tcPr>
          <w:p w14:paraId="13ED1720" w14:textId="77777777" w:rsidR="005D314E" w:rsidRPr="00576C3D" w:rsidRDefault="005D314E" w:rsidP="00576C3D">
            <w:r w:rsidRPr="00576C3D">
              <w:t>Karbondioksid</w:t>
            </w:r>
          </w:p>
        </w:tc>
      </w:tr>
      <w:tr w:rsidR="009D4FD2" w:rsidRPr="00576C3D" w14:paraId="1B21B6A5" w14:textId="77777777">
        <w:trPr>
          <w:trHeight w:val="380"/>
        </w:trPr>
        <w:tc>
          <w:tcPr>
            <w:tcW w:w="5220" w:type="dxa"/>
            <w:tcBorders>
              <w:top w:val="nil"/>
              <w:left w:val="nil"/>
              <w:bottom w:val="single" w:sz="4" w:space="0" w:color="000000"/>
              <w:right w:val="nil"/>
            </w:tcBorders>
            <w:tcMar>
              <w:top w:w="128" w:type="dxa"/>
              <w:left w:w="43" w:type="dxa"/>
              <w:bottom w:w="43" w:type="dxa"/>
              <w:right w:w="163" w:type="dxa"/>
            </w:tcMar>
          </w:tcPr>
          <w:p w14:paraId="62C3B978" w14:textId="77777777" w:rsidR="005D314E" w:rsidRPr="00576C3D" w:rsidRDefault="005D314E" w:rsidP="00576C3D">
            <w:r w:rsidRPr="00576C3D">
              <w:t>7326 – Andre varer av jern eller stål</w:t>
            </w:r>
          </w:p>
        </w:tc>
        <w:tc>
          <w:tcPr>
            <w:tcW w:w="4360" w:type="dxa"/>
            <w:tcBorders>
              <w:top w:val="nil"/>
              <w:left w:val="nil"/>
              <w:bottom w:val="single" w:sz="4" w:space="0" w:color="000000"/>
              <w:right w:val="nil"/>
            </w:tcBorders>
            <w:tcMar>
              <w:top w:w="128" w:type="dxa"/>
              <w:left w:w="43" w:type="dxa"/>
              <w:bottom w:w="43" w:type="dxa"/>
              <w:right w:w="43" w:type="dxa"/>
            </w:tcMar>
          </w:tcPr>
          <w:p w14:paraId="09AF0A10" w14:textId="77777777" w:rsidR="005D314E" w:rsidRPr="00576C3D" w:rsidRDefault="005D314E" w:rsidP="00576C3D">
            <w:r w:rsidRPr="00576C3D">
              <w:t>Karbondioksid</w:t>
            </w:r>
          </w:p>
        </w:tc>
      </w:tr>
    </w:tbl>
    <w:p w14:paraId="03BE96C2" w14:textId="77777777" w:rsidR="005D314E" w:rsidRPr="00576C3D" w:rsidRDefault="005D314E" w:rsidP="00576C3D">
      <w:pPr>
        <w:pStyle w:val="Undertittel"/>
      </w:pPr>
      <w:r w:rsidRPr="00576C3D">
        <w:t>Aluminium</w:t>
      </w:r>
    </w:p>
    <w:p w14:paraId="41AA478D" w14:textId="77777777" w:rsidR="005D314E" w:rsidRPr="00576C3D" w:rsidRDefault="005D314E" w:rsidP="00576C3D">
      <w:pPr>
        <w:pStyle w:val="Tabellnavn"/>
      </w:pPr>
      <w:r w:rsidRPr="00576C3D">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220"/>
        <w:gridCol w:w="4360"/>
      </w:tblGrid>
      <w:tr w:rsidR="009D4FD2" w:rsidRPr="00576C3D" w14:paraId="34023919" w14:textId="77777777">
        <w:trPr>
          <w:trHeight w:val="360"/>
        </w:trPr>
        <w:tc>
          <w:tcPr>
            <w:tcW w:w="5220" w:type="dxa"/>
            <w:tcBorders>
              <w:top w:val="single" w:sz="4" w:space="0" w:color="000000"/>
              <w:left w:val="nil"/>
              <w:bottom w:val="single" w:sz="4" w:space="0" w:color="000000"/>
              <w:right w:val="nil"/>
            </w:tcBorders>
            <w:tcMar>
              <w:top w:w="128" w:type="dxa"/>
              <w:left w:w="43" w:type="dxa"/>
              <w:bottom w:w="43" w:type="dxa"/>
              <w:right w:w="163" w:type="dxa"/>
            </w:tcMar>
            <w:vAlign w:val="bottom"/>
          </w:tcPr>
          <w:p w14:paraId="3C87B31B" w14:textId="77777777" w:rsidR="005D314E" w:rsidRPr="00576C3D" w:rsidRDefault="005D314E" w:rsidP="00576C3D">
            <w:r w:rsidRPr="00576C3D">
              <w:t>KN-kode</w:t>
            </w:r>
          </w:p>
        </w:tc>
        <w:tc>
          <w:tcPr>
            <w:tcW w:w="4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EEE634" w14:textId="77777777" w:rsidR="005D314E" w:rsidRPr="00576C3D" w:rsidRDefault="005D314E" w:rsidP="00576C3D">
            <w:r w:rsidRPr="00576C3D">
              <w:t>Klimagass</w:t>
            </w:r>
          </w:p>
        </w:tc>
      </w:tr>
      <w:tr w:rsidR="009D4FD2" w:rsidRPr="00576C3D" w14:paraId="3E51F27D" w14:textId="77777777">
        <w:trPr>
          <w:trHeight w:val="380"/>
        </w:trPr>
        <w:tc>
          <w:tcPr>
            <w:tcW w:w="5220" w:type="dxa"/>
            <w:tcBorders>
              <w:top w:val="single" w:sz="4" w:space="0" w:color="000000"/>
              <w:left w:val="nil"/>
              <w:bottom w:val="nil"/>
              <w:right w:val="nil"/>
            </w:tcBorders>
            <w:tcMar>
              <w:top w:w="128" w:type="dxa"/>
              <w:left w:w="43" w:type="dxa"/>
              <w:bottom w:w="43" w:type="dxa"/>
              <w:right w:w="163" w:type="dxa"/>
            </w:tcMar>
          </w:tcPr>
          <w:p w14:paraId="5455569D" w14:textId="77777777" w:rsidR="005D314E" w:rsidRPr="00576C3D" w:rsidRDefault="005D314E" w:rsidP="00576C3D">
            <w:r w:rsidRPr="00576C3D">
              <w:t>7601 – Ubearbeidet aluminium</w:t>
            </w:r>
          </w:p>
        </w:tc>
        <w:tc>
          <w:tcPr>
            <w:tcW w:w="4360" w:type="dxa"/>
            <w:tcBorders>
              <w:top w:val="single" w:sz="4" w:space="0" w:color="000000"/>
              <w:left w:val="nil"/>
              <w:bottom w:val="nil"/>
              <w:right w:val="nil"/>
            </w:tcBorders>
            <w:tcMar>
              <w:top w:w="128" w:type="dxa"/>
              <w:left w:w="43" w:type="dxa"/>
              <w:bottom w:w="43" w:type="dxa"/>
              <w:right w:w="43" w:type="dxa"/>
            </w:tcMar>
          </w:tcPr>
          <w:p w14:paraId="68E89967" w14:textId="77777777" w:rsidR="005D314E" w:rsidRPr="00576C3D" w:rsidRDefault="005D314E" w:rsidP="00576C3D">
            <w:r w:rsidRPr="00576C3D">
              <w:t xml:space="preserve">Karbondioksid og </w:t>
            </w:r>
            <w:proofErr w:type="spellStart"/>
            <w:r w:rsidRPr="00576C3D">
              <w:t>perfluorkarboner</w:t>
            </w:r>
            <w:proofErr w:type="spellEnd"/>
          </w:p>
        </w:tc>
      </w:tr>
      <w:tr w:rsidR="009D4FD2" w:rsidRPr="00576C3D" w14:paraId="464CB9A3" w14:textId="77777777">
        <w:trPr>
          <w:trHeight w:val="380"/>
        </w:trPr>
        <w:tc>
          <w:tcPr>
            <w:tcW w:w="5220" w:type="dxa"/>
            <w:tcBorders>
              <w:top w:val="nil"/>
              <w:left w:val="nil"/>
              <w:bottom w:val="nil"/>
              <w:right w:val="nil"/>
            </w:tcBorders>
            <w:tcMar>
              <w:top w:w="128" w:type="dxa"/>
              <w:left w:w="43" w:type="dxa"/>
              <w:bottom w:w="43" w:type="dxa"/>
              <w:right w:w="163" w:type="dxa"/>
            </w:tcMar>
          </w:tcPr>
          <w:p w14:paraId="68D078BA" w14:textId="77777777" w:rsidR="005D314E" w:rsidRPr="00576C3D" w:rsidRDefault="005D314E" w:rsidP="00576C3D">
            <w:r w:rsidRPr="00576C3D">
              <w:t>7603 – Pulver og flak av aluminium</w:t>
            </w:r>
          </w:p>
        </w:tc>
        <w:tc>
          <w:tcPr>
            <w:tcW w:w="4360" w:type="dxa"/>
            <w:tcBorders>
              <w:top w:val="nil"/>
              <w:left w:val="nil"/>
              <w:bottom w:val="nil"/>
              <w:right w:val="nil"/>
            </w:tcBorders>
            <w:tcMar>
              <w:top w:w="128" w:type="dxa"/>
              <w:left w:w="43" w:type="dxa"/>
              <w:bottom w:w="43" w:type="dxa"/>
              <w:right w:w="43" w:type="dxa"/>
            </w:tcMar>
          </w:tcPr>
          <w:p w14:paraId="20B4772D" w14:textId="77777777" w:rsidR="005D314E" w:rsidRPr="00576C3D" w:rsidRDefault="005D314E" w:rsidP="00576C3D">
            <w:r w:rsidRPr="00576C3D">
              <w:t xml:space="preserve">Karbondioksid og </w:t>
            </w:r>
            <w:proofErr w:type="spellStart"/>
            <w:r w:rsidRPr="00576C3D">
              <w:t>perfluorkarboner</w:t>
            </w:r>
            <w:proofErr w:type="spellEnd"/>
          </w:p>
        </w:tc>
      </w:tr>
      <w:tr w:rsidR="009D4FD2" w:rsidRPr="00576C3D" w14:paraId="26940665" w14:textId="77777777">
        <w:trPr>
          <w:trHeight w:val="380"/>
        </w:trPr>
        <w:tc>
          <w:tcPr>
            <w:tcW w:w="5220" w:type="dxa"/>
            <w:tcBorders>
              <w:top w:val="nil"/>
              <w:left w:val="nil"/>
              <w:bottom w:val="nil"/>
              <w:right w:val="nil"/>
            </w:tcBorders>
            <w:tcMar>
              <w:top w:w="128" w:type="dxa"/>
              <w:left w:w="43" w:type="dxa"/>
              <w:bottom w:w="43" w:type="dxa"/>
              <w:right w:w="163" w:type="dxa"/>
            </w:tcMar>
          </w:tcPr>
          <w:p w14:paraId="087A7637" w14:textId="77777777" w:rsidR="005D314E" w:rsidRPr="00576C3D" w:rsidRDefault="005D314E" w:rsidP="00576C3D">
            <w:r w:rsidRPr="00576C3D">
              <w:t>7604 – Stenger og profiler av aluminium</w:t>
            </w:r>
          </w:p>
        </w:tc>
        <w:tc>
          <w:tcPr>
            <w:tcW w:w="4360" w:type="dxa"/>
            <w:tcBorders>
              <w:top w:val="nil"/>
              <w:left w:val="nil"/>
              <w:bottom w:val="nil"/>
              <w:right w:val="nil"/>
            </w:tcBorders>
            <w:tcMar>
              <w:top w:w="128" w:type="dxa"/>
              <w:left w:w="43" w:type="dxa"/>
              <w:bottom w:w="43" w:type="dxa"/>
              <w:right w:w="43" w:type="dxa"/>
            </w:tcMar>
          </w:tcPr>
          <w:p w14:paraId="5D15C0D8" w14:textId="77777777" w:rsidR="005D314E" w:rsidRPr="00576C3D" w:rsidRDefault="005D314E" w:rsidP="00576C3D">
            <w:r w:rsidRPr="00576C3D">
              <w:t xml:space="preserve">Karbondioksid og </w:t>
            </w:r>
            <w:proofErr w:type="spellStart"/>
            <w:r w:rsidRPr="00576C3D">
              <w:t>perfluorkarboner</w:t>
            </w:r>
            <w:proofErr w:type="spellEnd"/>
          </w:p>
        </w:tc>
      </w:tr>
      <w:tr w:rsidR="009D4FD2" w:rsidRPr="00576C3D" w14:paraId="7A36B343" w14:textId="77777777">
        <w:trPr>
          <w:trHeight w:val="380"/>
        </w:trPr>
        <w:tc>
          <w:tcPr>
            <w:tcW w:w="5220" w:type="dxa"/>
            <w:tcBorders>
              <w:top w:val="nil"/>
              <w:left w:val="nil"/>
              <w:bottom w:val="nil"/>
              <w:right w:val="nil"/>
            </w:tcBorders>
            <w:tcMar>
              <w:top w:w="128" w:type="dxa"/>
              <w:left w:w="43" w:type="dxa"/>
              <w:bottom w:w="43" w:type="dxa"/>
              <w:right w:w="163" w:type="dxa"/>
            </w:tcMar>
          </w:tcPr>
          <w:p w14:paraId="17C62810" w14:textId="77777777" w:rsidR="005D314E" w:rsidRPr="00576C3D" w:rsidRDefault="005D314E" w:rsidP="00576C3D">
            <w:r w:rsidRPr="00576C3D">
              <w:t>7605 – Tråd av aluminium</w:t>
            </w:r>
          </w:p>
        </w:tc>
        <w:tc>
          <w:tcPr>
            <w:tcW w:w="4360" w:type="dxa"/>
            <w:tcBorders>
              <w:top w:val="nil"/>
              <w:left w:val="nil"/>
              <w:bottom w:val="nil"/>
              <w:right w:val="nil"/>
            </w:tcBorders>
            <w:tcMar>
              <w:top w:w="128" w:type="dxa"/>
              <w:left w:w="43" w:type="dxa"/>
              <w:bottom w:w="43" w:type="dxa"/>
              <w:right w:w="43" w:type="dxa"/>
            </w:tcMar>
          </w:tcPr>
          <w:p w14:paraId="27FB9959" w14:textId="77777777" w:rsidR="005D314E" w:rsidRPr="00576C3D" w:rsidRDefault="005D314E" w:rsidP="00576C3D">
            <w:r w:rsidRPr="00576C3D">
              <w:t xml:space="preserve">Karbondioksid og </w:t>
            </w:r>
            <w:proofErr w:type="spellStart"/>
            <w:r w:rsidRPr="00576C3D">
              <w:t>perfluorkarboner</w:t>
            </w:r>
            <w:proofErr w:type="spellEnd"/>
          </w:p>
        </w:tc>
      </w:tr>
      <w:tr w:rsidR="009D4FD2" w:rsidRPr="00576C3D" w14:paraId="09FD5453" w14:textId="77777777">
        <w:trPr>
          <w:trHeight w:val="640"/>
        </w:trPr>
        <w:tc>
          <w:tcPr>
            <w:tcW w:w="5220" w:type="dxa"/>
            <w:tcBorders>
              <w:top w:val="nil"/>
              <w:left w:val="nil"/>
              <w:bottom w:val="nil"/>
              <w:right w:val="nil"/>
            </w:tcBorders>
            <w:tcMar>
              <w:top w:w="128" w:type="dxa"/>
              <w:left w:w="43" w:type="dxa"/>
              <w:bottom w:w="43" w:type="dxa"/>
              <w:right w:w="163" w:type="dxa"/>
            </w:tcMar>
          </w:tcPr>
          <w:p w14:paraId="3E7DFCA1" w14:textId="5EAEB4D6" w:rsidR="005D314E" w:rsidRPr="00576C3D" w:rsidRDefault="005D314E" w:rsidP="00576C3D">
            <w:r w:rsidRPr="00576C3D">
              <w:t>7606 – Plater og bånd av aluminium, med tykkelse over 0,2 mm</w:t>
            </w:r>
          </w:p>
        </w:tc>
        <w:tc>
          <w:tcPr>
            <w:tcW w:w="4360" w:type="dxa"/>
            <w:tcBorders>
              <w:top w:val="nil"/>
              <w:left w:val="nil"/>
              <w:bottom w:val="nil"/>
              <w:right w:val="nil"/>
            </w:tcBorders>
            <w:tcMar>
              <w:top w:w="128" w:type="dxa"/>
              <w:left w:w="43" w:type="dxa"/>
              <w:bottom w:w="43" w:type="dxa"/>
              <w:right w:w="43" w:type="dxa"/>
            </w:tcMar>
          </w:tcPr>
          <w:p w14:paraId="025174E0" w14:textId="77777777" w:rsidR="005D314E" w:rsidRPr="00576C3D" w:rsidRDefault="005D314E" w:rsidP="00576C3D">
            <w:r w:rsidRPr="00576C3D">
              <w:t xml:space="preserve">Karbondioksid og </w:t>
            </w:r>
            <w:proofErr w:type="spellStart"/>
            <w:r w:rsidRPr="00576C3D">
              <w:t>perfluorkarboner</w:t>
            </w:r>
            <w:proofErr w:type="spellEnd"/>
          </w:p>
        </w:tc>
      </w:tr>
      <w:tr w:rsidR="009D4FD2" w:rsidRPr="00576C3D" w14:paraId="217CDC96" w14:textId="77777777">
        <w:trPr>
          <w:trHeight w:val="1140"/>
        </w:trPr>
        <w:tc>
          <w:tcPr>
            <w:tcW w:w="5220" w:type="dxa"/>
            <w:tcBorders>
              <w:top w:val="nil"/>
              <w:left w:val="nil"/>
              <w:bottom w:val="nil"/>
              <w:right w:val="nil"/>
            </w:tcBorders>
            <w:tcMar>
              <w:top w:w="128" w:type="dxa"/>
              <w:left w:w="43" w:type="dxa"/>
              <w:bottom w:w="43" w:type="dxa"/>
              <w:right w:w="163" w:type="dxa"/>
            </w:tcMar>
          </w:tcPr>
          <w:p w14:paraId="5698A84E" w14:textId="77777777" w:rsidR="005D314E" w:rsidRPr="00576C3D" w:rsidRDefault="005D314E" w:rsidP="00576C3D">
            <w:r w:rsidRPr="00576C3D">
              <w:t>7607 – Folier av aluminium (også trykte eller med underlag av papir, papp, plast eller liknende materiale), med tykkelse høyst 0,2 mm (underlag ikke medregnet)</w:t>
            </w:r>
          </w:p>
        </w:tc>
        <w:tc>
          <w:tcPr>
            <w:tcW w:w="4360" w:type="dxa"/>
            <w:tcBorders>
              <w:top w:val="nil"/>
              <w:left w:val="nil"/>
              <w:bottom w:val="nil"/>
              <w:right w:val="nil"/>
            </w:tcBorders>
            <w:tcMar>
              <w:top w:w="128" w:type="dxa"/>
              <w:left w:w="43" w:type="dxa"/>
              <w:bottom w:w="43" w:type="dxa"/>
              <w:right w:w="43" w:type="dxa"/>
            </w:tcMar>
          </w:tcPr>
          <w:p w14:paraId="397D92FE" w14:textId="77777777" w:rsidR="005D314E" w:rsidRPr="00576C3D" w:rsidRDefault="005D314E" w:rsidP="00576C3D">
            <w:r w:rsidRPr="00576C3D">
              <w:t xml:space="preserve">Karbondioksid og </w:t>
            </w:r>
            <w:proofErr w:type="spellStart"/>
            <w:r w:rsidRPr="00576C3D">
              <w:t>perfluorkarboner</w:t>
            </w:r>
            <w:proofErr w:type="spellEnd"/>
          </w:p>
        </w:tc>
      </w:tr>
      <w:tr w:rsidR="009D4FD2" w:rsidRPr="00576C3D" w14:paraId="20A14880" w14:textId="77777777">
        <w:trPr>
          <w:trHeight w:val="380"/>
        </w:trPr>
        <w:tc>
          <w:tcPr>
            <w:tcW w:w="5220" w:type="dxa"/>
            <w:tcBorders>
              <w:top w:val="nil"/>
              <w:left w:val="nil"/>
              <w:bottom w:val="nil"/>
              <w:right w:val="nil"/>
            </w:tcBorders>
            <w:tcMar>
              <w:top w:w="128" w:type="dxa"/>
              <w:left w:w="43" w:type="dxa"/>
              <w:bottom w:w="43" w:type="dxa"/>
              <w:right w:w="163" w:type="dxa"/>
            </w:tcMar>
          </w:tcPr>
          <w:p w14:paraId="4E2736D1" w14:textId="77777777" w:rsidR="005D314E" w:rsidRPr="00576C3D" w:rsidRDefault="005D314E" w:rsidP="00576C3D">
            <w:r w:rsidRPr="00576C3D">
              <w:t>7608 – Rør av aluminium</w:t>
            </w:r>
          </w:p>
        </w:tc>
        <w:tc>
          <w:tcPr>
            <w:tcW w:w="4360" w:type="dxa"/>
            <w:tcBorders>
              <w:top w:val="nil"/>
              <w:left w:val="nil"/>
              <w:bottom w:val="nil"/>
              <w:right w:val="nil"/>
            </w:tcBorders>
            <w:tcMar>
              <w:top w:w="128" w:type="dxa"/>
              <w:left w:w="43" w:type="dxa"/>
              <w:bottom w:w="43" w:type="dxa"/>
              <w:right w:w="43" w:type="dxa"/>
            </w:tcMar>
          </w:tcPr>
          <w:p w14:paraId="516EBEF9" w14:textId="77777777" w:rsidR="005D314E" w:rsidRPr="00576C3D" w:rsidRDefault="005D314E" w:rsidP="00576C3D">
            <w:r w:rsidRPr="00576C3D">
              <w:t xml:space="preserve">Karbondioksid og </w:t>
            </w:r>
            <w:proofErr w:type="spellStart"/>
            <w:r w:rsidRPr="00576C3D">
              <w:t>perfluorkarboner</w:t>
            </w:r>
            <w:proofErr w:type="spellEnd"/>
          </w:p>
        </w:tc>
      </w:tr>
      <w:tr w:rsidR="009D4FD2" w:rsidRPr="00576C3D" w14:paraId="6EFBBE93" w14:textId="77777777">
        <w:trPr>
          <w:trHeight w:val="640"/>
        </w:trPr>
        <w:tc>
          <w:tcPr>
            <w:tcW w:w="5220" w:type="dxa"/>
            <w:tcBorders>
              <w:top w:val="nil"/>
              <w:left w:val="nil"/>
              <w:bottom w:val="nil"/>
              <w:right w:val="nil"/>
            </w:tcBorders>
            <w:tcMar>
              <w:top w:w="128" w:type="dxa"/>
              <w:left w:w="43" w:type="dxa"/>
              <w:bottom w:w="43" w:type="dxa"/>
              <w:right w:w="163" w:type="dxa"/>
            </w:tcMar>
          </w:tcPr>
          <w:p w14:paraId="66671B82" w14:textId="77777777" w:rsidR="005D314E" w:rsidRPr="00576C3D" w:rsidRDefault="005D314E" w:rsidP="00576C3D">
            <w:r w:rsidRPr="00576C3D">
              <w:t xml:space="preserve">7609 00 00 – Rørdeler (fittings) (f.eks. forbindelsesstykker, </w:t>
            </w:r>
            <w:proofErr w:type="gramStart"/>
            <w:r w:rsidRPr="00576C3D">
              <w:t>knær,</w:t>
            </w:r>
            <w:proofErr w:type="gramEnd"/>
            <w:r w:rsidRPr="00576C3D">
              <w:t xml:space="preserve"> muffer) av aluminium</w:t>
            </w:r>
          </w:p>
        </w:tc>
        <w:tc>
          <w:tcPr>
            <w:tcW w:w="4360" w:type="dxa"/>
            <w:tcBorders>
              <w:top w:val="nil"/>
              <w:left w:val="nil"/>
              <w:bottom w:val="nil"/>
              <w:right w:val="nil"/>
            </w:tcBorders>
            <w:tcMar>
              <w:top w:w="128" w:type="dxa"/>
              <w:left w:w="43" w:type="dxa"/>
              <w:bottom w:w="43" w:type="dxa"/>
              <w:right w:w="43" w:type="dxa"/>
            </w:tcMar>
          </w:tcPr>
          <w:p w14:paraId="1C972F3B" w14:textId="77777777" w:rsidR="005D314E" w:rsidRPr="00576C3D" w:rsidRDefault="005D314E" w:rsidP="00576C3D">
            <w:r w:rsidRPr="00576C3D">
              <w:t xml:space="preserve">Karbondioksid og </w:t>
            </w:r>
            <w:proofErr w:type="spellStart"/>
            <w:r w:rsidRPr="00576C3D">
              <w:t>perfluorkarboner</w:t>
            </w:r>
            <w:proofErr w:type="spellEnd"/>
          </w:p>
        </w:tc>
      </w:tr>
      <w:tr w:rsidR="009D4FD2" w:rsidRPr="00576C3D" w14:paraId="457EB14C" w14:textId="77777777">
        <w:trPr>
          <w:trHeight w:val="1920"/>
        </w:trPr>
        <w:tc>
          <w:tcPr>
            <w:tcW w:w="5220" w:type="dxa"/>
            <w:tcBorders>
              <w:top w:val="nil"/>
              <w:left w:val="nil"/>
              <w:bottom w:val="nil"/>
              <w:right w:val="nil"/>
            </w:tcBorders>
            <w:tcMar>
              <w:top w:w="128" w:type="dxa"/>
              <w:left w:w="43" w:type="dxa"/>
              <w:bottom w:w="43" w:type="dxa"/>
              <w:right w:w="163" w:type="dxa"/>
            </w:tcMar>
          </w:tcPr>
          <w:p w14:paraId="4ACB0CEE" w14:textId="77777777" w:rsidR="005D314E" w:rsidRPr="00576C3D" w:rsidRDefault="005D314E" w:rsidP="00576C3D">
            <w:r w:rsidRPr="00576C3D">
              <w:t>7610 – Konstruksjoner av aluminium (unntatt prefabrikkerte bygninger som hører under posisjon 94.06) og deler dertil (f.eks. bruer, bruseksjoner, tårn, master, tak, taksperrer, dører og vinduer samt rammer og karmer dertil og dørterskler, rekkverk, søyler og pilarer); plater, stenger, profiler, rør og liknende av aluminium, bearbeidete til bruk i konstruksjoner</w:t>
            </w:r>
          </w:p>
        </w:tc>
        <w:tc>
          <w:tcPr>
            <w:tcW w:w="4360" w:type="dxa"/>
            <w:tcBorders>
              <w:top w:val="nil"/>
              <w:left w:val="nil"/>
              <w:bottom w:val="nil"/>
              <w:right w:val="nil"/>
            </w:tcBorders>
            <w:tcMar>
              <w:top w:w="128" w:type="dxa"/>
              <w:left w:w="43" w:type="dxa"/>
              <w:bottom w:w="43" w:type="dxa"/>
              <w:right w:w="43" w:type="dxa"/>
            </w:tcMar>
          </w:tcPr>
          <w:p w14:paraId="6ABBE64B" w14:textId="77777777" w:rsidR="005D314E" w:rsidRPr="00576C3D" w:rsidRDefault="005D314E" w:rsidP="00576C3D">
            <w:r w:rsidRPr="00576C3D">
              <w:t xml:space="preserve">Karbondioksid og </w:t>
            </w:r>
            <w:proofErr w:type="spellStart"/>
            <w:r w:rsidRPr="00576C3D">
              <w:t>perfluorkarboner</w:t>
            </w:r>
            <w:proofErr w:type="spellEnd"/>
          </w:p>
        </w:tc>
      </w:tr>
      <w:tr w:rsidR="009D4FD2" w:rsidRPr="00576C3D" w14:paraId="5558B614" w14:textId="77777777">
        <w:trPr>
          <w:trHeight w:val="1400"/>
        </w:trPr>
        <w:tc>
          <w:tcPr>
            <w:tcW w:w="5220" w:type="dxa"/>
            <w:tcBorders>
              <w:top w:val="nil"/>
              <w:left w:val="nil"/>
              <w:bottom w:val="nil"/>
              <w:right w:val="nil"/>
            </w:tcBorders>
            <w:tcMar>
              <w:top w:w="128" w:type="dxa"/>
              <w:left w:w="43" w:type="dxa"/>
              <w:bottom w:w="43" w:type="dxa"/>
              <w:right w:w="163" w:type="dxa"/>
            </w:tcMar>
          </w:tcPr>
          <w:p w14:paraId="28649996" w14:textId="77777777" w:rsidR="005D314E" w:rsidRPr="00576C3D" w:rsidRDefault="005D314E" w:rsidP="00576C3D">
            <w:r w:rsidRPr="00576C3D">
              <w:t>7611 00 00 – Tanker, kar og liknende beholdere, av aluminium, for ethvert materiale (unntatt beholdere for komprimerte eller flytende gasser), med rominnhold over 300 liter, også fôret eller varmeisolert, men uten mekanisk eller termisk utstyr</w:t>
            </w:r>
          </w:p>
        </w:tc>
        <w:tc>
          <w:tcPr>
            <w:tcW w:w="4360" w:type="dxa"/>
            <w:tcBorders>
              <w:top w:val="nil"/>
              <w:left w:val="nil"/>
              <w:bottom w:val="nil"/>
              <w:right w:val="nil"/>
            </w:tcBorders>
            <w:tcMar>
              <w:top w:w="128" w:type="dxa"/>
              <w:left w:w="43" w:type="dxa"/>
              <w:bottom w:w="43" w:type="dxa"/>
              <w:right w:w="43" w:type="dxa"/>
            </w:tcMar>
          </w:tcPr>
          <w:p w14:paraId="3664D554" w14:textId="77777777" w:rsidR="005D314E" w:rsidRPr="00576C3D" w:rsidRDefault="005D314E" w:rsidP="00576C3D">
            <w:r w:rsidRPr="00576C3D">
              <w:t xml:space="preserve">Karbondioksid og </w:t>
            </w:r>
            <w:proofErr w:type="spellStart"/>
            <w:r w:rsidRPr="00576C3D">
              <w:t>perfluorkarboner</w:t>
            </w:r>
            <w:proofErr w:type="spellEnd"/>
          </w:p>
        </w:tc>
      </w:tr>
      <w:tr w:rsidR="009D4FD2" w:rsidRPr="00576C3D" w14:paraId="05F76093" w14:textId="77777777">
        <w:trPr>
          <w:trHeight w:val="1660"/>
        </w:trPr>
        <w:tc>
          <w:tcPr>
            <w:tcW w:w="5220" w:type="dxa"/>
            <w:tcBorders>
              <w:top w:val="nil"/>
              <w:left w:val="nil"/>
              <w:bottom w:val="nil"/>
              <w:right w:val="nil"/>
            </w:tcBorders>
            <w:tcMar>
              <w:top w:w="128" w:type="dxa"/>
              <w:left w:w="43" w:type="dxa"/>
              <w:bottom w:w="43" w:type="dxa"/>
              <w:right w:w="163" w:type="dxa"/>
            </w:tcMar>
          </w:tcPr>
          <w:p w14:paraId="474E10CE" w14:textId="77777777" w:rsidR="005D314E" w:rsidRPr="00576C3D" w:rsidRDefault="005D314E" w:rsidP="00576C3D">
            <w:r w:rsidRPr="00576C3D">
              <w:t>7612 – Tanker, fat, tromler, spann, bokser, esker og liknende beholdere, av aluminium (herunder rørformede beholdere og tuber), for ethvert materiale (unntatt beholdere for komprimerte eller flytende gasser), med rominnhold høyst 300 liter, også fôret eller varmeisolert, men uten mekanisk eller termisk utstyr</w:t>
            </w:r>
          </w:p>
        </w:tc>
        <w:tc>
          <w:tcPr>
            <w:tcW w:w="4360" w:type="dxa"/>
            <w:tcBorders>
              <w:top w:val="nil"/>
              <w:left w:val="nil"/>
              <w:bottom w:val="nil"/>
              <w:right w:val="nil"/>
            </w:tcBorders>
            <w:tcMar>
              <w:top w:w="128" w:type="dxa"/>
              <w:left w:w="43" w:type="dxa"/>
              <w:bottom w:w="43" w:type="dxa"/>
              <w:right w:w="43" w:type="dxa"/>
            </w:tcMar>
          </w:tcPr>
          <w:p w14:paraId="18E78C20" w14:textId="77777777" w:rsidR="005D314E" w:rsidRPr="00576C3D" w:rsidRDefault="005D314E" w:rsidP="00576C3D">
            <w:r w:rsidRPr="00576C3D">
              <w:t xml:space="preserve">Karbondioksid og </w:t>
            </w:r>
            <w:proofErr w:type="spellStart"/>
            <w:r w:rsidRPr="00576C3D">
              <w:t>perfluorkarboner</w:t>
            </w:r>
            <w:proofErr w:type="spellEnd"/>
          </w:p>
        </w:tc>
      </w:tr>
      <w:tr w:rsidR="009D4FD2" w:rsidRPr="00576C3D" w14:paraId="725F320F" w14:textId="77777777">
        <w:trPr>
          <w:trHeight w:val="640"/>
        </w:trPr>
        <w:tc>
          <w:tcPr>
            <w:tcW w:w="5220" w:type="dxa"/>
            <w:tcBorders>
              <w:top w:val="nil"/>
              <w:left w:val="nil"/>
              <w:bottom w:val="nil"/>
              <w:right w:val="nil"/>
            </w:tcBorders>
            <w:tcMar>
              <w:top w:w="128" w:type="dxa"/>
              <w:left w:w="43" w:type="dxa"/>
              <w:bottom w:w="43" w:type="dxa"/>
              <w:right w:w="163" w:type="dxa"/>
            </w:tcMar>
          </w:tcPr>
          <w:p w14:paraId="7E409CAC" w14:textId="77777777" w:rsidR="005D314E" w:rsidRPr="00576C3D" w:rsidRDefault="005D314E" w:rsidP="00576C3D">
            <w:r w:rsidRPr="00576C3D">
              <w:t>7613 00 00 – Beholdere av aluminium for komprimerte eller flytende gasser</w:t>
            </w:r>
          </w:p>
        </w:tc>
        <w:tc>
          <w:tcPr>
            <w:tcW w:w="4360" w:type="dxa"/>
            <w:tcBorders>
              <w:top w:val="nil"/>
              <w:left w:val="nil"/>
              <w:bottom w:val="nil"/>
              <w:right w:val="nil"/>
            </w:tcBorders>
            <w:tcMar>
              <w:top w:w="128" w:type="dxa"/>
              <w:left w:w="43" w:type="dxa"/>
              <w:bottom w:w="43" w:type="dxa"/>
              <w:right w:w="43" w:type="dxa"/>
            </w:tcMar>
          </w:tcPr>
          <w:p w14:paraId="0FC7784F" w14:textId="77777777" w:rsidR="005D314E" w:rsidRPr="00576C3D" w:rsidRDefault="005D314E" w:rsidP="00576C3D">
            <w:r w:rsidRPr="00576C3D">
              <w:t xml:space="preserve">Karbondioksid og </w:t>
            </w:r>
            <w:proofErr w:type="spellStart"/>
            <w:r w:rsidRPr="00576C3D">
              <w:t>perfluorkarboner</w:t>
            </w:r>
            <w:proofErr w:type="spellEnd"/>
          </w:p>
        </w:tc>
      </w:tr>
      <w:tr w:rsidR="009D4FD2" w:rsidRPr="00576C3D" w14:paraId="670B3934" w14:textId="77777777">
        <w:trPr>
          <w:trHeight w:val="640"/>
        </w:trPr>
        <w:tc>
          <w:tcPr>
            <w:tcW w:w="5220" w:type="dxa"/>
            <w:tcBorders>
              <w:top w:val="nil"/>
              <w:left w:val="nil"/>
              <w:bottom w:val="nil"/>
              <w:right w:val="nil"/>
            </w:tcBorders>
            <w:tcMar>
              <w:top w:w="128" w:type="dxa"/>
              <w:left w:w="43" w:type="dxa"/>
              <w:bottom w:w="43" w:type="dxa"/>
              <w:right w:w="163" w:type="dxa"/>
            </w:tcMar>
          </w:tcPr>
          <w:p w14:paraId="49104E9A" w14:textId="77777777" w:rsidR="005D314E" w:rsidRPr="00576C3D" w:rsidRDefault="005D314E" w:rsidP="00576C3D">
            <w:r w:rsidRPr="00576C3D">
              <w:t>7614 – Tau, liner, kabler, flettede bånd og liknende varer, av aluminium, uten elektrisk isolasjon</w:t>
            </w:r>
          </w:p>
        </w:tc>
        <w:tc>
          <w:tcPr>
            <w:tcW w:w="4360" w:type="dxa"/>
            <w:tcBorders>
              <w:top w:val="nil"/>
              <w:left w:val="nil"/>
              <w:bottom w:val="nil"/>
              <w:right w:val="nil"/>
            </w:tcBorders>
            <w:tcMar>
              <w:top w:w="128" w:type="dxa"/>
              <w:left w:w="43" w:type="dxa"/>
              <w:bottom w:w="43" w:type="dxa"/>
              <w:right w:w="43" w:type="dxa"/>
            </w:tcMar>
          </w:tcPr>
          <w:p w14:paraId="11A44C2E" w14:textId="77777777" w:rsidR="005D314E" w:rsidRPr="00576C3D" w:rsidRDefault="005D314E" w:rsidP="00576C3D">
            <w:r w:rsidRPr="00576C3D">
              <w:t xml:space="preserve">Karbondioksid og </w:t>
            </w:r>
            <w:proofErr w:type="spellStart"/>
            <w:r w:rsidRPr="00576C3D">
              <w:t>perfluorkarboner</w:t>
            </w:r>
            <w:proofErr w:type="spellEnd"/>
          </w:p>
        </w:tc>
      </w:tr>
      <w:tr w:rsidR="009D4FD2" w:rsidRPr="00576C3D" w14:paraId="3AB3BE20" w14:textId="77777777">
        <w:trPr>
          <w:trHeight w:val="380"/>
        </w:trPr>
        <w:tc>
          <w:tcPr>
            <w:tcW w:w="5220" w:type="dxa"/>
            <w:tcBorders>
              <w:top w:val="nil"/>
              <w:left w:val="nil"/>
              <w:bottom w:val="single" w:sz="4" w:space="0" w:color="000000"/>
              <w:right w:val="nil"/>
            </w:tcBorders>
            <w:tcMar>
              <w:top w:w="128" w:type="dxa"/>
              <w:left w:w="43" w:type="dxa"/>
              <w:bottom w:w="43" w:type="dxa"/>
              <w:right w:w="163" w:type="dxa"/>
            </w:tcMar>
          </w:tcPr>
          <w:p w14:paraId="349E7E72" w14:textId="77777777" w:rsidR="005D314E" w:rsidRPr="00576C3D" w:rsidRDefault="005D314E" w:rsidP="00576C3D">
            <w:r w:rsidRPr="00576C3D">
              <w:t>7616 – Andre varer av aluminium</w:t>
            </w:r>
          </w:p>
        </w:tc>
        <w:tc>
          <w:tcPr>
            <w:tcW w:w="4360" w:type="dxa"/>
            <w:tcBorders>
              <w:top w:val="nil"/>
              <w:left w:val="nil"/>
              <w:bottom w:val="single" w:sz="4" w:space="0" w:color="000000"/>
              <w:right w:val="nil"/>
            </w:tcBorders>
            <w:tcMar>
              <w:top w:w="128" w:type="dxa"/>
              <w:left w:w="43" w:type="dxa"/>
              <w:bottom w:w="43" w:type="dxa"/>
              <w:right w:w="43" w:type="dxa"/>
            </w:tcMar>
          </w:tcPr>
          <w:p w14:paraId="3F65AD3C" w14:textId="77777777" w:rsidR="005D314E" w:rsidRPr="00576C3D" w:rsidRDefault="005D314E" w:rsidP="00576C3D">
            <w:r w:rsidRPr="00576C3D">
              <w:t xml:space="preserve">Karbondioksid og </w:t>
            </w:r>
            <w:proofErr w:type="spellStart"/>
            <w:r w:rsidRPr="00576C3D">
              <w:t>perfluorkarboner</w:t>
            </w:r>
            <w:proofErr w:type="spellEnd"/>
          </w:p>
        </w:tc>
      </w:tr>
    </w:tbl>
    <w:p w14:paraId="1872082D" w14:textId="77777777" w:rsidR="005D314E" w:rsidRPr="00576C3D" w:rsidRDefault="005D314E" w:rsidP="00576C3D">
      <w:pPr>
        <w:pStyle w:val="Undertittel"/>
      </w:pPr>
      <w:r w:rsidRPr="00576C3D">
        <w:t>Kjemikalier</w:t>
      </w:r>
    </w:p>
    <w:p w14:paraId="69B06B48" w14:textId="77777777" w:rsidR="005D314E" w:rsidRPr="00576C3D" w:rsidRDefault="005D314E" w:rsidP="00576C3D">
      <w:pPr>
        <w:pStyle w:val="Tabellnavn"/>
      </w:pPr>
      <w:r w:rsidRPr="00576C3D">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220"/>
        <w:gridCol w:w="4360"/>
      </w:tblGrid>
      <w:tr w:rsidR="009D4FD2" w:rsidRPr="00576C3D" w14:paraId="1A29D3F8" w14:textId="77777777">
        <w:trPr>
          <w:trHeight w:val="360"/>
        </w:trPr>
        <w:tc>
          <w:tcPr>
            <w:tcW w:w="5220" w:type="dxa"/>
            <w:tcBorders>
              <w:top w:val="single" w:sz="4" w:space="0" w:color="000000"/>
              <w:left w:val="nil"/>
              <w:bottom w:val="single" w:sz="4" w:space="0" w:color="000000"/>
              <w:right w:val="nil"/>
            </w:tcBorders>
            <w:tcMar>
              <w:top w:w="128" w:type="dxa"/>
              <w:left w:w="43" w:type="dxa"/>
              <w:bottom w:w="43" w:type="dxa"/>
              <w:right w:w="163" w:type="dxa"/>
            </w:tcMar>
            <w:vAlign w:val="bottom"/>
          </w:tcPr>
          <w:p w14:paraId="30108731" w14:textId="77777777" w:rsidR="005D314E" w:rsidRPr="00576C3D" w:rsidRDefault="005D314E" w:rsidP="00576C3D">
            <w:r w:rsidRPr="00576C3D">
              <w:t>KN-kode</w:t>
            </w:r>
          </w:p>
        </w:tc>
        <w:tc>
          <w:tcPr>
            <w:tcW w:w="4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1F3B12" w14:textId="77777777" w:rsidR="005D314E" w:rsidRPr="00576C3D" w:rsidRDefault="005D314E" w:rsidP="00576C3D">
            <w:r w:rsidRPr="00576C3D">
              <w:t>Klimagass</w:t>
            </w:r>
          </w:p>
        </w:tc>
      </w:tr>
      <w:tr w:rsidR="009D4FD2" w:rsidRPr="00576C3D" w14:paraId="1B8921D8" w14:textId="77777777">
        <w:trPr>
          <w:trHeight w:val="380"/>
        </w:trPr>
        <w:tc>
          <w:tcPr>
            <w:tcW w:w="5220" w:type="dxa"/>
            <w:tcBorders>
              <w:top w:val="single" w:sz="4" w:space="0" w:color="000000"/>
              <w:left w:val="nil"/>
              <w:bottom w:val="single" w:sz="4" w:space="0" w:color="000000"/>
              <w:right w:val="nil"/>
            </w:tcBorders>
            <w:tcMar>
              <w:top w:w="128" w:type="dxa"/>
              <w:left w:w="43" w:type="dxa"/>
              <w:bottom w:w="43" w:type="dxa"/>
              <w:right w:w="163" w:type="dxa"/>
            </w:tcMar>
          </w:tcPr>
          <w:p w14:paraId="51B58DEF" w14:textId="77777777" w:rsidR="005D314E" w:rsidRPr="00576C3D" w:rsidRDefault="005D314E" w:rsidP="00576C3D">
            <w:r w:rsidRPr="00576C3D">
              <w:t>2804 10 00 – Hydrogen</w:t>
            </w:r>
          </w:p>
        </w:tc>
        <w:tc>
          <w:tcPr>
            <w:tcW w:w="4360" w:type="dxa"/>
            <w:tcBorders>
              <w:top w:val="single" w:sz="4" w:space="0" w:color="000000"/>
              <w:left w:val="nil"/>
              <w:bottom w:val="single" w:sz="4" w:space="0" w:color="000000"/>
              <w:right w:val="nil"/>
            </w:tcBorders>
            <w:tcMar>
              <w:top w:w="128" w:type="dxa"/>
              <w:left w:w="43" w:type="dxa"/>
              <w:bottom w:w="43" w:type="dxa"/>
              <w:right w:w="43" w:type="dxa"/>
            </w:tcMar>
          </w:tcPr>
          <w:p w14:paraId="3D12F68C" w14:textId="77777777" w:rsidR="005D314E" w:rsidRPr="00576C3D" w:rsidRDefault="005D314E" w:rsidP="00576C3D">
            <w:r w:rsidRPr="00576C3D">
              <w:t>Karbondioksid</w:t>
            </w:r>
          </w:p>
        </w:tc>
      </w:tr>
    </w:tbl>
    <w:p w14:paraId="25A57105" w14:textId="77777777" w:rsidR="005D314E" w:rsidRPr="00576C3D" w:rsidRDefault="005D314E" w:rsidP="00576C3D">
      <w:pPr>
        <w:pStyle w:val="avsnitt-undertittel"/>
      </w:pPr>
      <w:r w:rsidRPr="00576C3D">
        <w:t>Vedlegg III</w:t>
      </w:r>
    </w:p>
    <w:p w14:paraId="56ED9379" w14:textId="77777777" w:rsidR="005D314E" w:rsidRPr="00576C3D" w:rsidRDefault="005D314E" w:rsidP="00576C3D">
      <w:pPr>
        <w:pStyle w:val="Undertittel"/>
      </w:pPr>
      <w:r w:rsidRPr="00576C3D">
        <w:t>Tredjeland og territorier som ikke omfattes av denne forordningen med henblikk på artikkel 2</w:t>
      </w:r>
    </w:p>
    <w:p w14:paraId="733F6DCF" w14:textId="77777777" w:rsidR="005D314E" w:rsidRPr="00576C3D" w:rsidRDefault="005D314E" w:rsidP="00576C3D">
      <w:pPr>
        <w:pStyle w:val="friliste"/>
      </w:pPr>
      <w:r w:rsidRPr="00576C3D">
        <w:t>1.</w:t>
      </w:r>
      <w:r w:rsidRPr="00576C3D">
        <w:tab/>
        <w:t>TREDJELAND OG TERRITORIER SOM IKKE OMFATTES AV DENNE FORORDNINGEN</w:t>
      </w:r>
    </w:p>
    <w:p w14:paraId="63648AC5" w14:textId="77777777" w:rsidR="005D314E" w:rsidRPr="00576C3D" w:rsidRDefault="005D314E" w:rsidP="00576C3D">
      <w:pPr>
        <w:pStyle w:val="Listeavsnitt"/>
      </w:pPr>
      <w:r w:rsidRPr="00576C3D">
        <w:t xml:space="preserve">Denne forordningen får ikke </w:t>
      </w:r>
      <w:proofErr w:type="gramStart"/>
      <w:r w:rsidRPr="00576C3D">
        <w:t>anvendelse</w:t>
      </w:r>
      <w:proofErr w:type="gramEnd"/>
      <w:r w:rsidRPr="00576C3D">
        <w:t xml:space="preserve"> på produkter med opprinnelse i følgende land:</w:t>
      </w:r>
    </w:p>
    <w:p w14:paraId="232C890D" w14:textId="77777777" w:rsidR="005D314E" w:rsidRPr="00576C3D" w:rsidRDefault="005D314E" w:rsidP="00576C3D">
      <w:pPr>
        <w:pStyle w:val="friliste2"/>
      </w:pPr>
      <w:r w:rsidRPr="00576C3D">
        <w:t>–</w:t>
      </w:r>
      <w:r w:rsidRPr="00576C3D">
        <w:tab/>
        <w:t>Island</w:t>
      </w:r>
    </w:p>
    <w:p w14:paraId="7E927742" w14:textId="77777777" w:rsidR="005D314E" w:rsidRPr="00576C3D" w:rsidRDefault="005D314E" w:rsidP="00576C3D">
      <w:pPr>
        <w:pStyle w:val="friliste2"/>
      </w:pPr>
      <w:r w:rsidRPr="00576C3D">
        <w:t>–</w:t>
      </w:r>
      <w:r w:rsidRPr="00576C3D">
        <w:tab/>
        <w:t>Liechtenstein</w:t>
      </w:r>
    </w:p>
    <w:p w14:paraId="53F62060" w14:textId="77777777" w:rsidR="005D314E" w:rsidRPr="00576C3D" w:rsidRDefault="005D314E" w:rsidP="00576C3D">
      <w:pPr>
        <w:pStyle w:val="friliste2"/>
      </w:pPr>
      <w:r w:rsidRPr="00576C3D">
        <w:t>–</w:t>
      </w:r>
      <w:r w:rsidRPr="00576C3D">
        <w:tab/>
        <w:t>Norge</w:t>
      </w:r>
    </w:p>
    <w:p w14:paraId="2444F764" w14:textId="77777777" w:rsidR="005D314E" w:rsidRPr="00576C3D" w:rsidRDefault="005D314E" w:rsidP="00576C3D">
      <w:pPr>
        <w:pStyle w:val="friliste2"/>
      </w:pPr>
      <w:r w:rsidRPr="00576C3D">
        <w:t>–</w:t>
      </w:r>
      <w:r w:rsidRPr="00576C3D">
        <w:tab/>
        <w:t>Sveits</w:t>
      </w:r>
    </w:p>
    <w:p w14:paraId="04D37C1E" w14:textId="77777777" w:rsidR="005D314E" w:rsidRPr="00576C3D" w:rsidRDefault="005D314E" w:rsidP="00576C3D">
      <w:pPr>
        <w:pStyle w:val="Listeavsnitt"/>
      </w:pPr>
      <w:r w:rsidRPr="00576C3D">
        <w:t xml:space="preserve">Denne forordningen får ikke </w:t>
      </w:r>
      <w:proofErr w:type="gramStart"/>
      <w:r w:rsidRPr="00576C3D">
        <w:t>anvendelse</w:t>
      </w:r>
      <w:proofErr w:type="gramEnd"/>
      <w:r w:rsidRPr="00576C3D">
        <w:t xml:space="preserve"> på produkter med opprinnelse i følgende territorier:</w:t>
      </w:r>
    </w:p>
    <w:p w14:paraId="404D34A2" w14:textId="77777777" w:rsidR="005D314E" w:rsidRPr="00576C3D" w:rsidRDefault="005D314E" w:rsidP="00576C3D">
      <w:pPr>
        <w:pStyle w:val="friliste2"/>
      </w:pPr>
      <w:r w:rsidRPr="00576C3D">
        <w:t>–</w:t>
      </w:r>
      <w:r w:rsidRPr="00576C3D">
        <w:tab/>
      </w:r>
      <w:proofErr w:type="spellStart"/>
      <w:r w:rsidRPr="00576C3D">
        <w:t>Büsingen</w:t>
      </w:r>
      <w:proofErr w:type="spellEnd"/>
    </w:p>
    <w:p w14:paraId="6CE90B5B" w14:textId="77777777" w:rsidR="005D314E" w:rsidRPr="00576C3D" w:rsidRDefault="005D314E" w:rsidP="00576C3D">
      <w:pPr>
        <w:pStyle w:val="friliste2"/>
      </w:pPr>
      <w:r w:rsidRPr="00576C3D">
        <w:t>–</w:t>
      </w:r>
      <w:r w:rsidRPr="00576C3D">
        <w:tab/>
        <w:t>Helgoland</w:t>
      </w:r>
    </w:p>
    <w:p w14:paraId="4365A076" w14:textId="77777777" w:rsidR="005D314E" w:rsidRPr="00576C3D" w:rsidRDefault="005D314E" w:rsidP="00576C3D">
      <w:pPr>
        <w:pStyle w:val="friliste2"/>
      </w:pPr>
      <w:r w:rsidRPr="00576C3D">
        <w:t>–</w:t>
      </w:r>
      <w:r w:rsidRPr="00576C3D">
        <w:tab/>
      </w:r>
      <w:proofErr w:type="spellStart"/>
      <w:r w:rsidRPr="00576C3D">
        <w:t>Livigno</w:t>
      </w:r>
      <w:proofErr w:type="spellEnd"/>
    </w:p>
    <w:p w14:paraId="2CC9B931" w14:textId="77777777" w:rsidR="005D314E" w:rsidRPr="00576C3D" w:rsidRDefault="005D314E" w:rsidP="00576C3D">
      <w:pPr>
        <w:pStyle w:val="friliste2"/>
      </w:pPr>
      <w:r w:rsidRPr="00576C3D">
        <w:t>–</w:t>
      </w:r>
      <w:r w:rsidRPr="00576C3D">
        <w:tab/>
        <w:t>Ceuta</w:t>
      </w:r>
    </w:p>
    <w:p w14:paraId="51D25CF9" w14:textId="77777777" w:rsidR="005D314E" w:rsidRPr="00576C3D" w:rsidRDefault="005D314E" w:rsidP="00576C3D">
      <w:pPr>
        <w:pStyle w:val="friliste2"/>
      </w:pPr>
      <w:r w:rsidRPr="00576C3D">
        <w:t>–</w:t>
      </w:r>
      <w:r w:rsidRPr="00576C3D">
        <w:tab/>
      </w:r>
      <w:proofErr w:type="spellStart"/>
      <w:r w:rsidRPr="00576C3D">
        <w:t>Melilla</w:t>
      </w:r>
      <w:proofErr w:type="spellEnd"/>
    </w:p>
    <w:p w14:paraId="0E45A3F0" w14:textId="77777777" w:rsidR="005D314E" w:rsidRPr="00576C3D" w:rsidRDefault="005D314E" w:rsidP="00576C3D">
      <w:pPr>
        <w:pStyle w:val="friliste"/>
      </w:pPr>
      <w:r w:rsidRPr="00576C3D">
        <w:t>2.</w:t>
      </w:r>
      <w:r w:rsidRPr="00576C3D">
        <w:tab/>
        <w:t>TREDJELAND OG TERRITORIER SOM IKKE OMFATTES AV DENNE FORORDNINGEN MED HENSYN TIL IMPORT AV ELEKTRISITET TIL UNIONENS TOLLOMRÅDE</w:t>
      </w:r>
    </w:p>
    <w:p w14:paraId="20AEDBBF" w14:textId="77777777" w:rsidR="005D314E" w:rsidRPr="00576C3D" w:rsidRDefault="005D314E" w:rsidP="00576C3D">
      <w:pPr>
        <w:pStyle w:val="Listeavsnitt"/>
      </w:pPr>
      <w:r w:rsidRPr="00576C3D">
        <w:t>[Tredjeland eller territorier som skal legges til eller fjernes av Kommisjonen i henhold til artikkel 2 nr. 11.]</w:t>
      </w:r>
    </w:p>
    <w:p w14:paraId="6F30F2A5" w14:textId="77777777" w:rsidR="005D314E" w:rsidRPr="00576C3D" w:rsidRDefault="005D314E" w:rsidP="00576C3D">
      <w:pPr>
        <w:pStyle w:val="avsnitt-undertittel"/>
      </w:pPr>
      <w:r w:rsidRPr="00576C3D">
        <w:t>Vedlegg IV</w:t>
      </w:r>
    </w:p>
    <w:p w14:paraId="43D98FFD" w14:textId="77777777" w:rsidR="005D314E" w:rsidRPr="00576C3D" w:rsidRDefault="005D314E" w:rsidP="00576C3D">
      <w:pPr>
        <w:pStyle w:val="Undertittel"/>
      </w:pPr>
      <w:r w:rsidRPr="00576C3D">
        <w:t>Metoder for beregning av innbakte utslipp i henhold til artikkel 7</w:t>
      </w:r>
    </w:p>
    <w:p w14:paraId="0C75B40E" w14:textId="77777777" w:rsidR="005D314E" w:rsidRPr="00576C3D" w:rsidRDefault="005D314E" w:rsidP="00576C3D">
      <w:pPr>
        <w:pStyle w:val="friliste"/>
      </w:pPr>
      <w:r w:rsidRPr="00576C3D">
        <w:t>1.</w:t>
      </w:r>
      <w:r w:rsidRPr="00576C3D">
        <w:tab/>
        <w:t>DEFINISJONER</w:t>
      </w:r>
    </w:p>
    <w:p w14:paraId="1A893A15" w14:textId="77777777" w:rsidR="005D314E" w:rsidRPr="00576C3D" w:rsidRDefault="005D314E" w:rsidP="00576C3D">
      <w:pPr>
        <w:pStyle w:val="Listeavsnitt"/>
      </w:pPr>
      <w:r w:rsidRPr="00576C3D">
        <w:t>I dette vedlegget samt i vedlegg V og VI menes med</w:t>
      </w:r>
    </w:p>
    <w:p w14:paraId="1D85E590" w14:textId="77777777" w:rsidR="005D314E" w:rsidRPr="00576C3D" w:rsidRDefault="005D314E" w:rsidP="00576C3D">
      <w:pPr>
        <w:pStyle w:val="friliste2"/>
      </w:pPr>
      <w:r w:rsidRPr="00576C3D">
        <w:t>a)</w:t>
      </w:r>
      <w:r w:rsidRPr="00576C3D">
        <w:tab/>
        <w:t>«enkle varer» varer produsert i en produksjonsprosess som utelukkende krever innsatsmaterialer (forløpere) og drivstoff som ikke har innbakte utslipp,</w:t>
      </w:r>
    </w:p>
    <w:p w14:paraId="34C4860D" w14:textId="77777777" w:rsidR="005D314E" w:rsidRPr="00576C3D" w:rsidRDefault="005D314E" w:rsidP="00576C3D">
      <w:pPr>
        <w:pStyle w:val="friliste2"/>
      </w:pPr>
      <w:r w:rsidRPr="00576C3D">
        <w:t>b)</w:t>
      </w:r>
      <w:r w:rsidRPr="00576C3D">
        <w:tab/>
        <w:t>«sammensatte varer» andre varer enn enkle varer,</w:t>
      </w:r>
    </w:p>
    <w:p w14:paraId="72577829" w14:textId="77777777" w:rsidR="005D314E" w:rsidRPr="00576C3D" w:rsidRDefault="005D314E" w:rsidP="00576C3D">
      <w:pPr>
        <w:pStyle w:val="friliste2"/>
      </w:pPr>
      <w:r w:rsidRPr="00576C3D">
        <w:t>c)</w:t>
      </w:r>
      <w:r w:rsidRPr="00576C3D">
        <w:tab/>
        <w:t>«spesifikke innbakte utslipp» de innbakte utslippene i ett tonn varer, uttrykt som tonn CO</w:t>
      </w:r>
      <w:r w:rsidRPr="00576C3D">
        <w:rPr>
          <w:rStyle w:val="skrift-senket"/>
        </w:rPr>
        <w:t>2</w:t>
      </w:r>
      <w:r w:rsidRPr="00576C3D">
        <w:t>-ekvivalenter som slippes ut per tonn varer,</w:t>
      </w:r>
    </w:p>
    <w:p w14:paraId="20A9BC20" w14:textId="77777777" w:rsidR="005D314E" w:rsidRPr="00576C3D" w:rsidRDefault="005D314E" w:rsidP="00576C3D">
      <w:pPr>
        <w:pStyle w:val="friliste2"/>
      </w:pPr>
      <w:r w:rsidRPr="00576C3D">
        <w:t>d)</w:t>
      </w:r>
      <w:r w:rsidRPr="00576C3D">
        <w:tab/>
        <w:t>«CO</w:t>
      </w:r>
      <w:r w:rsidRPr="00576C3D">
        <w:rPr>
          <w:rStyle w:val="skrift-senket"/>
        </w:rPr>
        <w:t>2</w:t>
      </w:r>
      <w:r w:rsidRPr="00576C3D">
        <w:t>-utslippsfaktor» det vektede gjennomsnittet av CO</w:t>
      </w:r>
      <w:r w:rsidRPr="00576C3D">
        <w:rPr>
          <w:rStyle w:val="skrift-senket"/>
        </w:rPr>
        <w:t>2</w:t>
      </w:r>
      <w:r w:rsidRPr="00576C3D">
        <w:t>-intensiteten for elektrisitet produsert fra fossile brensler i et geografisk område; CO</w:t>
      </w:r>
      <w:r w:rsidRPr="00576C3D">
        <w:rPr>
          <w:rStyle w:val="skrift-senket"/>
        </w:rPr>
        <w:t>2</w:t>
      </w:r>
      <w:r w:rsidRPr="00576C3D">
        <w:t>-utslippsfaktoren er resultatet av CO</w:t>
      </w:r>
      <w:r w:rsidRPr="00576C3D">
        <w:rPr>
          <w:rStyle w:val="skrift-senket"/>
        </w:rPr>
        <w:t>2</w:t>
      </w:r>
      <w:r w:rsidRPr="00576C3D">
        <w:t>-utslippsdataene for elektrisitetssektoren delt på brutto elektrisitetsproduksjon fra fossile brensler i det relevante geografiske området; den er uttrykt i tonn CO</w:t>
      </w:r>
      <w:r w:rsidRPr="00576C3D">
        <w:rPr>
          <w:rStyle w:val="skrift-senket"/>
        </w:rPr>
        <w:t>2</w:t>
      </w:r>
      <w:r w:rsidRPr="00576C3D">
        <w:t xml:space="preserve"> per </w:t>
      </w:r>
      <w:proofErr w:type="spellStart"/>
      <w:r w:rsidRPr="00576C3D">
        <w:t>megawattime</w:t>
      </w:r>
      <w:proofErr w:type="spellEnd"/>
      <w:r w:rsidRPr="00576C3D">
        <w:t>,</w:t>
      </w:r>
    </w:p>
    <w:p w14:paraId="2AA2DB96" w14:textId="77777777" w:rsidR="005D314E" w:rsidRPr="00576C3D" w:rsidRDefault="005D314E" w:rsidP="00576C3D">
      <w:pPr>
        <w:pStyle w:val="friliste2"/>
      </w:pPr>
      <w:r w:rsidRPr="00576C3D">
        <w:t>e)</w:t>
      </w:r>
      <w:r w:rsidRPr="00576C3D">
        <w:tab/>
        <w:t>«utslippsfaktor for elektrisitet» standardverdien, uttrykt i CO</w:t>
      </w:r>
      <w:r w:rsidRPr="00576C3D">
        <w:rPr>
          <w:rStyle w:val="skrift-senket"/>
        </w:rPr>
        <w:t>2</w:t>
      </w:r>
      <w:r w:rsidRPr="00576C3D">
        <w:t>-ekvivalenter, som representerer utslippsintensiteten for elektrisitet som forbrukes i produksjonen av varer,</w:t>
      </w:r>
    </w:p>
    <w:p w14:paraId="44CED9AA" w14:textId="77777777" w:rsidR="005D314E" w:rsidRPr="00576C3D" w:rsidRDefault="005D314E" w:rsidP="00576C3D">
      <w:pPr>
        <w:pStyle w:val="friliste2"/>
      </w:pPr>
      <w:r w:rsidRPr="00576C3D">
        <w:t>f)</w:t>
      </w:r>
      <w:r w:rsidRPr="00576C3D">
        <w:tab/>
        <w:t>«avtale om kjøp av kraft» en avtale der en person avtaler å kjøpe elektrisitet direkte fra en elektrisitetsprodusent,</w:t>
      </w:r>
    </w:p>
    <w:p w14:paraId="4E81363C" w14:textId="77777777" w:rsidR="005D314E" w:rsidRPr="00576C3D" w:rsidRDefault="005D314E" w:rsidP="00576C3D">
      <w:pPr>
        <w:pStyle w:val="friliste2"/>
      </w:pPr>
      <w:r w:rsidRPr="00576C3D">
        <w:t>g)</w:t>
      </w:r>
      <w:r w:rsidRPr="00576C3D">
        <w:tab/>
        <w:t>«operatør av transmisjonsnett» en operatør som definert i artikkel 2 nr. 35 i europaparlaments- og rådsforordning (EU) 2019/944</w:t>
      </w:r>
      <w:r w:rsidRPr="00576C3D">
        <w:rPr>
          <w:rStyle w:val="Fotnotereferanse"/>
        </w:rPr>
        <w:footnoteReference w:id="28"/>
      </w:r>
      <w:r w:rsidRPr="00576C3D">
        <w:t>.</w:t>
      </w:r>
    </w:p>
    <w:p w14:paraId="4E0A6FB7" w14:textId="77777777" w:rsidR="005D314E" w:rsidRPr="00576C3D" w:rsidRDefault="005D314E" w:rsidP="00576C3D">
      <w:pPr>
        <w:pStyle w:val="friliste"/>
      </w:pPr>
      <w:r w:rsidRPr="00576C3D">
        <w:t>2.</w:t>
      </w:r>
      <w:r w:rsidRPr="00576C3D">
        <w:tab/>
        <w:t>BESTEMMELSE AV FAKTISKE SPESIFIKKE INNBAKTE UTSLIPP FOR ENKLE VARER</w:t>
      </w:r>
    </w:p>
    <w:p w14:paraId="016CAA1C" w14:textId="3E1A4490" w:rsidR="005D314E" w:rsidRPr="00576C3D" w:rsidRDefault="005D314E" w:rsidP="00576C3D">
      <w:pPr>
        <w:pStyle w:val="Listeavsnitt"/>
      </w:pPr>
      <w:r w:rsidRPr="00576C3D">
        <w:t>For å bestemme de spesifikke faktiske innbakte utslippene av enkle varer produsert i et gitt anlegg, skal det tas hensyn til direkte og eventuelt indirekte utslipp. For dette formål skal følgende ligning anvendes:</w:t>
      </w:r>
      <w:r w:rsidR="00C01A90">
        <w:rPr>
          <w:noProof/>
        </w:rPr>
        <w:drawing>
          <wp:inline distT="0" distB="0" distL="0" distR="0" wp14:anchorId="2A0FED33" wp14:editId="751C21AB">
            <wp:extent cx="6076950" cy="3067050"/>
            <wp:effectExtent l="0" t="0" r="0" b="0"/>
            <wp:docPr id="167240732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3067050"/>
                    </a:xfrm>
                    <a:prstGeom prst="rect">
                      <a:avLst/>
                    </a:prstGeom>
                    <a:noFill/>
                    <a:ln>
                      <a:noFill/>
                    </a:ln>
                  </pic:spPr>
                </pic:pic>
              </a:graphicData>
            </a:graphic>
          </wp:inline>
        </w:drawing>
      </w:r>
    </w:p>
    <w:p w14:paraId="40C6937E" w14:textId="77777777" w:rsidR="005D314E" w:rsidRPr="00576C3D" w:rsidRDefault="005D314E" w:rsidP="00576C3D">
      <w:pPr>
        <w:pStyle w:val="friliste"/>
      </w:pPr>
      <w:r w:rsidRPr="00576C3D">
        <w:t>Der</w:t>
      </w:r>
    </w:p>
    <w:p w14:paraId="1D151FC5" w14:textId="77777777" w:rsidR="005D314E" w:rsidRPr="00576C3D" w:rsidRDefault="005D314E" w:rsidP="00576C3D">
      <w:pPr>
        <w:pStyle w:val="Tabellnavn"/>
      </w:pPr>
      <w:r w:rsidRPr="00576C3D">
        <w:t>02N0xx1</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980"/>
        <w:gridCol w:w="3280"/>
      </w:tblGrid>
      <w:tr w:rsidR="009D4FD2" w:rsidRPr="00576C3D" w14:paraId="38C9F23C" w14:textId="77777777">
        <w:trPr>
          <w:trHeight w:val="880"/>
        </w:trPr>
        <w:tc>
          <w:tcPr>
            <w:tcW w:w="980" w:type="dxa"/>
            <w:tcBorders>
              <w:top w:val="nil"/>
              <w:left w:val="nil"/>
              <w:bottom w:val="nil"/>
              <w:right w:val="nil"/>
            </w:tcBorders>
            <w:tcMar>
              <w:top w:w="128" w:type="dxa"/>
              <w:left w:w="43" w:type="dxa"/>
              <w:bottom w:w="43" w:type="dxa"/>
              <w:right w:w="43" w:type="dxa"/>
            </w:tcMar>
          </w:tcPr>
          <w:p w14:paraId="4E708316" w14:textId="77777777" w:rsidR="005D314E" w:rsidRPr="00576C3D" w:rsidRDefault="005D314E" w:rsidP="00576C3D">
            <w:proofErr w:type="spellStart"/>
            <w:r w:rsidRPr="00576C3D">
              <w:t>SEE</w:t>
            </w:r>
            <w:r w:rsidRPr="00576C3D">
              <w:rPr>
                <w:rStyle w:val="skrift-senket"/>
                <w:sz w:val="21"/>
              </w:rPr>
              <w:t>g</w:t>
            </w:r>
            <w:proofErr w:type="spellEnd"/>
            <w:r w:rsidRPr="00576C3D">
              <w:t>.</w:t>
            </w:r>
          </w:p>
        </w:tc>
        <w:tc>
          <w:tcPr>
            <w:tcW w:w="3280" w:type="dxa"/>
            <w:tcBorders>
              <w:top w:val="nil"/>
              <w:left w:val="nil"/>
              <w:bottom w:val="nil"/>
              <w:right w:val="nil"/>
            </w:tcBorders>
            <w:tcMar>
              <w:top w:w="128" w:type="dxa"/>
              <w:left w:w="43" w:type="dxa"/>
              <w:bottom w:w="43" w:type="dxa"/>
              <w:right w:w="43" w:type="dxa"/>
            </w:tcMar>
          </w:tcPr>
          <w:p w14:paraId="4D61B783" w14:textId="77777777" w:rsidR="005D314E" w:rsidRPr="00576C3D" w:rsidRDefault="005D314E" w:rsidP="00576C3D">
            <w:r w:rsidRPr="00576C3D">
              <w:t>er de spesifikke innbakte utslippene av varer g, i form av CO</w:t>
            </w:r>
            <w:r w:rsidRPr="00576C3D">
              <w:rPr>
                <w:rStyle w:val="skrift-senket"/>
                <w:sz w:val="21"/>
              </w:rPr>
              <w:t>2</w:t>
            </w:r>
            <w:r w:rsidRPr="00576C3D">
              <w:t>-ekvivalenter per tonn,</w:t>
            </w:r>
          </w:p>
        </w:tc>
      </w:tr>
      <w:tr w:rsidR="009D4FD2" w:rsidRPr="00576C3D" w14:paraId="469D7065" w14:textId="77777777">
        <w:trPr>
          <w:trHeight w:val="640"/>
        </w:trPr>
        <w:tc>
          <w:tcPr>
            <w:tcW w:w="980" w:type="dxa"/>
            <w:tcBorders>
              <w:top w:val="nil"/>
              <w:left w:val="nil"/>
              <w:bottom w:val="nil"/>
              <w:right w:val="nil"/>
            </w:tcBorders>
            <w:tcMar>
              <w:top w:w="128" w:type="dxa"/>
              <w:left w:w="43" w:type="dxa"/>
              <w:bottom w:w="43" w:type="dxa"/>
              <w:right w:w="43" w:type="dxa"/>
            </w:tcMar>
          </w:tcPr>
          <w:p w14:paraId="365EB2E0" w14:textId="77777777" w:rsidR="005D314E" w:rsidRPr="00576C3D" w:rsidRDefault="005D314E" w:rsidP="00576C3D">
            <w:proofErr w:type="spellStart"/>
            <w:r w:rsidRPr="00576C3D">
              <w:t>AttrEm</w:t>
            </w:r>
            <w:r w:rsidRPr="00576C3D">
              <w:rPr>
                <w:rStyle w:val="skrift-senket"/>
                <w:sz w:val="21"/>
              </w:rPr>
              <w:t>g</w:t>
            </w:r>
            <w:proofErr w:type="spellEnd"/>
          </w:p>
        </w:tc>
        <w:tc>
          <w:tcPr>
            <w:tcW w:w="3280" w:type="dxa"/>
            <w:tcBorders>
              <w:top w:val="nil"/>
              <w:left w:val="nil"/>
              <w:bottom w:val="nil"/>
              <w:right w:val="nil"/>
            </w:tcBorders>
            <w:tcMar>
              <w:top w:w="128" w:type="dxa"/>
              <w:left w:w="43" w:type="dxa"/>
              <w:bottom w:w="43" w:type="dxa"/>
              <w:right w:w="43" w:type="dxa"/>
            </w:tcMar>
          </w:tcPr>
          <w:p w14:paraId="6A01155D" w14:textId="77777777" w:rsidR="005D314E" w:rsidRPr="00576C3D" w:rsidRDefault="005D314E" w:rsidP="00576C3D">
            <w:r w:rsidRPr="00576C3D">
              <w:t>er de tildelte utslippene til varer g, og</w:t>
            </w:r>
          </w:p>
        </w:tc>
      </w:tr>
      <w:tr w:rsidR="009D4FD2" w:rsidRPr="00576C3D" w14:paraId="12617057" w14:textId="77777777">
        <w:trPr>
          <w:trHeight w:val="1140"/>
        </w:trPr>
        <w:tc>
          <w:tcPr>
            <w:tcW w:w="980" w:type="dxa"/>
            <w:tcBorders>
              <w:top w:val="nil"/>
              <w:left w:val="nil"/>
              <w:bottom w:val="nil"/>
              <w:right w:val="nil"/>
            </w:tcBorders>
            <w:tcMar>
              <w:top w:w="128" w:type="dxa"/>
              <w:left w:w="43" w:type="dxa"/>
              <w:bottom w:w="43" w:type="dxa"/>
              <w:right w:w="43" w:type="dxa"/>
            </w:tcMar>
          </w:tcPr>
          <w:p w14:paraId="20EDA3D7" w14:textId="77777777" w:rsidR="005D314E" w:rsidRPr="00576C3D" w:rsidRDefault="005D314E" w:rsidP="00576C3D">
            <w:proofErr w:type="spellStart"/>
            <w:r w:rsidRPr="00576C3D">
              <w:t>AL</w:t>
            </w:r>
            <w:r w:rsidRPr="00576C3D">
              <w:rPr>
                <w:rStyle w:val="skrift-senket"/>
                <w:sz w:val="21"/>
              </w:rPr>
              <w:t>g</w:t>
            </w:r>
            <w:proofErr w:type="spellEnd"/>
          </w:p>
        </w:tc>
        <w:tc>
          <w:tcPr>
            <w:tcW w:w="3280" w:type="dxa"/>
            <w:tcBorders>
              <w:top w:val="nil"/>
              <w:left w:val="nil"/>
              <w:bottom w:val="nil"/>
              <w:right w:val="nil"/>
            </w:tcBorders>
            <w:tcMar>
              <w:top w:w="128" w:type="dxa"/>
              <w:left w:w="43" w:type="dxa"/>
              <w:bottom w:w="43" w:type="dxa"/>
              <w:right w:w="43" w:type="dxa"/>
            </w:tcMar>
          </w:tcPr>
          <w:p w14:paraId="57B33E14" w14:textId="77777777" w:rsidR="005D314E" w:rsidRPr="00576C3D" w:rsidRDefault="005D314E" w:rsidP="00576C3D">
            <w:r w:rsidRPr="00576C3D">
              <w:t>er varenes aktivitetsnivå, som er mengden varer produsert i rapporteringsperioden i det aktuelle anlegget.</w:t>
            </w:r>
          </w:p>
        </w:tc>
      </w:tr>
    </w:tbl>
    <w:p w14:paraId="36E74AED" w14:textId="77777777" w:rsidR="005D314E" w:rsidRPr="00576C3D" w:rsidRDefault="005D314E" w:rsidP="00576C3D">
      <w:pPr>
        <w:pStyle w:val="Listeavsnitt"/>
      </w:pPr>
      <w:r w:rsidRPr="00576C3D">
        <w:t xml:space="preserve">Med «tildelte utslipp» menes den delen av anleggets utslipp i rapporteringsperioden som er forårsaket av produksjonsprosessen som resulterer i varer g ved </w:t>
      </w:r>
      <w:proofErr w:type="gramStart"/>
      <w:r w:rsidRPr="00576C3D">
        <w:t>anvendelse</w:t>
      </w:r>
      <w:proofErr w:type="gramEnd"/>
      <w:r w:rsidRPr="00576C3D">
        <w:t xml:space="preserve"> av systemgrensene for produksjonsprosessen som er definert i gjennomføringsrettsaktene vedtatt i henhold til artikkel 7 nr. 7. De tildelte utslippene skal beregnes ved hjelp av følgende ligning:</w:t>
      </w:r>
    </w:p>
    <w:p w14:paraId="62323DC3" w14:textId="77777777" w:rsidR="005D314E" w:rsidRPr="00576C3D" w:rsidRDefault="005D314E" w:rsidP="00576C3D">
      <w:pPr>
        <w:rPr>
          <w:rStyle w:val="kursiv"/>
        </w:rPr>
      </w:pPr>
      <w:proofErr w:type="spellStart"/>
      <w:r w:rsidRPr="00576C3D">
        <w:rPr>
          <w:rStyle w:val="kursiv"/>
        </w:rPr>
        <w:t>AttrEmg</w:t>
      </w:r>
      <w:proofErr w:type="spellEnd"/>
      <w:r w:rsidRPr="00576C3D">
        <w:rPr>
          <w:rStyle w:val="kursiv"/>
        </w:rPr>
        <w:t xml:space="preserve"> = </w:t>
      </w:r>
      <w:proofErr w:type="spellStart"/>
      <w:r w:rsidRPr="00576C3D">
        <w:rPr>
          <w:rStyle w:val="kursiv"/>
        </w:rPr>
        <w:t>DirEm</w:t>
      </w:r>
      <w:proofErr w:type="spellEnd"/>
      <w:r w:rsidRPr="00576C3D">
        <w:rPr>
          <w:rStyle w:val="kursiv"/>
        </w:rPr>
        <w:t xml:space="preserve"> + </w:t>
      </w:r>
      <w:proofErr w:type="spellStart"/>
      <w:r w:rsidRPr="00576C3D">
        <w:rPr>
          <w:rStyle w:val="kursiv"/>
        </w:rPr>
        <w:t>IndirEm</w:t>
      </w:r>
      <w:proofErr w:type="spellEnd"/>
    </w:p>
    <w:p w14:paraId="3C784F9C" w14:textId="77777777" w:rsidR="005D314E" w:rsidRPr="00576C3D" w:rsidRDefault="005D314E" w:rsidP="00576C3D">
      <w:pPr>
        <w:pStyle w:val="Listeavsnitt"/>
      </w:pPr>
      <w:r w:rsidRPr="00576C3D">
        <w:t>Der</w:t>
      </w:r>
    </w:p>
    <w:p w14:paraId="6E92F17B" w14:textId="77777777" w:rsidR="005D314E" w:rsidRPr="00576C3D" w:rsidRDefault="005D314E" w:rsidP="00576C3D">
      <w:pPr>
        <w:pStyle w:val="Tabellnavn"/>
      </w:pPr>
      <w:r w:rsidRPr="00576C3D">
        <w:t>02N0xx1</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980"/>
        <w:gridCol w:w="3280"/>
      </w:tblGrid>
      <w:tr w:rsidR="009D4FD2" w:rsidRPr="00576C3D" w14:paraId="5E62B1C6" w14:textId="77777777">
        <w:trPr>
          <w:trHeight w:val="1660"/>
        </w:trPr>
        <w:tc>
          <w:tcPr>
            <w:tcW w:w="980" w:type="dxa"/>
            <w:tcBorders>
              <w:top w:val="nil"/>
              <w:left w:val="nil"/>
              <w:bottom w:val="nil"/>
              <w:right w:val="nil"/>
            </w:tcBorders>
            <w:tcMar>
              <w:top w:w="128" w:type="dxa"/>
              <w:left w:w="43" w:type="dxa"/>
              <w:bottom w:w="43" w:type="dxa"/>
              <w:right w:w="43" w:type="dxa"/>
            </w:tcMar>
          </w:tcPr>
          <w:p w14:paraId="1646E569" w14:textId="77777777" w:rsidR="005D314E" w:rsidRPr="00576C3D" w:rsidRDefault="005D314E" w:rsidP="00576C3D">
            <w:proofErr w:type="spellStart"/>
            <w:r w:rsidRPr="00576C3D">
              <w:t>DirEm</w:t>
            </w:r>
            <w:proofErr w:type="spellEnd"/>
          </w:p>
        </w:tc>
        <w:tc>
          <w:tcPr>
            <w:tcW w:w="3280" w:type="dxa"/>
            <w:tcBorders>
              <w:top w:val="nil"/>
              <w:left w:val="nil"/>
              <w:bottom w:val="nil"/>
              <w:right w:val="nil"/>
            </w:tcBorders>
            <w:tcMar>
              <w:top w:w="128" w:type="dxa"/>
              <w:left w:w="43" w:type="dxa"/>
              <w:bottom w:w="43" w:type="dxa"/>
              <w:right w:w="43" w:type="dxa"/>
            </w:tcMar>
          </w:tcPr>
          <w:p w14:paraId="38DBAC03" w14:textId="77777777" w:rsidR="005D314E" w:rsidRPr="00576C3D" w:rsidRDefault="005D314E" w:rsidP="00576C3D">
            <w:r w:rsidRPr="00576C3D">
              <w:t>er de direkte utslippene fra produksjonsprosessen, uttrykt i tonn CO</w:t>
            </w:r>
            <w:r w:rsidRPr="00576C3D">
              <w:rPr>
                <w:rStyle w:val="skrift-senket"/>
                <w:sz w:val="21"/>
              </w:rPr>
              <w:t>2</w:t>
            </w:r>
            <w:r w:rsidRPr="00576C3D">
              <w:t>-ekvivalenter, innenfor systemgrensene nevnt i gjennomføringsrettsakten vedtatt i henhold til artikkel 7 nr. 7, og</w:t>
            </w:r>
          </w:p>
        </w:tc>
      </w:tr>
      <w:tr w:rsidR="009D4FD2" w:rsidRPr="00576C3D" w14:paraId="24224999" w14:textId="77777777">
        <w:trPr>
          <w:trHeight w:val="1920"/>
        </w:trPr>
        <w:tc>
          <w:tcPr>
            <w:tcW w:w="980" w:type="dxa"/>
            <w:tcBorders>
              <w:top w:val="nil"/>
              <w:left w:val="nil"/>
              <w:bottom w:val="nil"/>
              <w:right w:val="nil"/>
            </w:tcBorders>
            <w:tcMar>
              <w:top w:w="128" w:type="dxa"/>
              <w:left w:w="43" w:type="dxa"/>
              <w:bottom w:w="43" w:type="dxa"/>
              <w:right w:w="43" w:type="dxa"/>
            </w:tcMar>
          </w:tcPr>
          <w:p w14:paraId="0B4AEC19" w14:textId="77777777" w:rsidR="005D314E" w:rsidRPr="00576C3D" w:rsidRDefault="005D314E" w:rsidP="00576C3D">
            <w:proofErr w:type="spellStart"/>
            <w:r w:rsidRPr="00576C3D">
              <w:t>IndirEm</w:t>
            </w:r>
            <w:proofErr w:type="spellEnd"/>
          </w:p>
        </w:tc>
        <w:tc>
          <w:tcPr>
            <w:tcW w:w="3280" w:type="dxa"/>
            <w:tcBorders>
              <w:top w:val="nil"/>
              <w:left w:val="nil"/>
              <w:bottom w:val="nil"/>
              <w:right w:val="nil"/>
            </w:tcBorders>
            <w:tcMar>
              <w:top w:w="128" w:type="dxa"/>
              <w:left w:w="43" w:type="dxa"/>
              <w:bottom w:w="43" w:type="dxa"/>
              <w:right w:w="43" w:type="dxa"/>
            </w:tcMar>
          </w:tcPr>
          <w:p w14:paraId="54503586" w14:textId="77777777" w:rsidR="005D314E" w:rsidRPr="00576C3D" w:rsidRDefault="005D314E" w:rsidP="00576C3D">
            <w:r w:rsidRPr="00576C3D">
              <w:t>er de indirekte utslippene fra produksjon av elektrisitet som forbrukes i produksjonsprosesser for varer, uttrykt i tonn CO</w:t>
            </w:r>
            <w:r w:rsidRPr="00576C3D">
              <w:rPr>
                <w:rStyle w:val="skrift-senket"/>
                <w:sz w:val="21"/>
              </w:rPr>
              <w:t>2</w:t>
            </w:r>
            <w:r w:rsidRPr="00576C3D">
              <w:t>-ekvivalenter, innenfor systemgrensene nevnt i gjennomføringsrettsakten vedtatt i henhold til artikkel 7 nr. 7.</w:t>
            </w:r>
          </w:p>
        </w:tc>
      </w:tr>
    </w:tbl>
    <w:p w14:paraId="66B3FF40" w14:textId="77777777" w:rsidR="005D314E" w:rsidRPr="00576C3D" w:rsidRDefault="005D314E" w:rsidP="00576C3D">
      <w:pPr>
        <w:pStyle w:val="friliste"/>
      </w:pPr>
      <w:r w:rsidRPr="00576C3D">
        <w:t>3.</w:t>
      </w:r>
      <w:r w:rsidRPr="00576C3D">
        <w:tab/>
        <w:t>BESTEMMELSE AV FAKTISKE INNBAKTE UTSLIPP FOR SAMMENSATTE VARER</w:t>
      </w:r>
    </w:p>
    <w:p w14:paraId="0F2061B2" w14:textId="740437A0" w:rsidR="005D314E" w:rsidRDefault="005D314E" w:rsidP="00C01A90">
      <w:pPr>
        <w:pStyle w:val="Listeavsnitt"/>
      </w:pPr>
      <w:r w:rsidRPr="00576C3D">
        <w:t>For å bestemme de spesifikke faktiske innbakte utslippene av sammensatte varer produsert i et gitt anlegg, brukes følgende ligning:</w:t>
      </w:r>
    </w:p>
    <w:p w14:paraId="604E0310" w14:textId="4CA16662" w:rsidR="00F05D58" w:rsidRPr="00576C3D" w:rsidRDefault="00F05D58" w:rsidP="00C01A90">
      <w:pPr>
        <w:pStyle w:val="Listeavsnitt"/>
      </w:pPr>
      <w:r>
        <w:rPr>
          <w:noProof/>
        </w:rPr>
        <w:drawing>
          <wp:inline distT="0" distB="0" distL="0" distR="0" wp14:anchorId="3C0C452F" wp14:editId="4369CB19">
            <wp:extent cx="6076950" cy="2705100"/>
            <wp:effectExtent l="0" t="0" r="0" b="0"/>
            <wp:docPr id="504597388"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2705100"/>
                    </a:xfrm>
                    <a:prstGeom prst="rect">
                      <a:avLst/>
                    </a:prstGeom>
                    <a:noFill/>
                    <a:ln>
                      <a:noFill/>
                    </a:ln>
                  </pic:spPr>
                </pic:pic>
              </a:graphicData>
            </a:graphic>
          </wp:inline>
        </w:drawing>
      </w:r>
    </w:p>
    <w:p w14:paraId="68509293" w14:textId="77777777" w:rsidR="005D314E" w:rsidRPr="00576C3D" w:rsidRDefault="005D314E" w:rsidP="00576C3D">
      <w:pPr>
        <w:pStyle w:val="Listeavsnitt"/>
      </w:pPr>
      <w:r w:rsidRPr="00576C3D">
        <w:t>Der</w:t>
      </w:r>
    </w:p>
    <w:p w14:paraId="7613F1FB" w14:textId="77777777" w:rsidR="005D314E" w:rsidRPr="00576C3D" w:rsidRDefault="005D314E" w:rsidP="00576C3D">
      <w:pPr>
        <w:pStyle w:val="Tabellnavn"/>
      </w:pPr>
      <w:r w:rsidRPr="00576C3D">
        <w:t>02N0xx1</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980"/>
        <w:gridCol w:w="3280"/>
      </w:tblGrid>
      <w:tr w:rsidR="009D4FD2" w:rsidRPr="00576C3D" w14:paraId="29477623" w14:textId="77777777">
        <w:trPr>
          <w:trHeight w:val="380"/>
        </w:trPr>
        <w:tc>
          <w:tcPr>
            <w:tcW w:w="980" w:type="dxa"/>
            <w:tcBorders>
              <w:top w:val="nil"/>
              <w:left w:val="nil"/>
              <w:bottom w:val="nil"/>
              <w:right w:val="nil"/>
            </w:tcBorders>
            <w:tcMar>
              <w:top w:w="128" w:type="dxa"/>
              <w:left w:w="43" w:type="dxa"/>
              <w:bottom w:w="43" w:type="dxa"/>
              <w:right w:w="43" w:type="dxa"/>
            </w:tcMar>
          </w:tcPr>
          <w:p w14:paraId="76372F8E" w14:textId="77777777" w:rsidR="005D314E" w:rsidRPr="00576C3D" w:rsidRDefault="005D314E" w:rsidP="00576C3D">
            <w:proofErr w:type="spellStart"/>
            <w:r w:rsidRPr="00576C3D">
              <w:t>AttrEm</w:t>
            </w:r>
            <w:r w:rsidRPr="00576C3D">
              <w:rPr>
                <w:rStyle w:val="skrift-senket"/>
                <w:sz w:val="21"/>
              </w:rPr>
              <w:t>g</w:t>
            </w:r>
            <w:proofErr w:type="spellEnd"/>
          </w:p>
        </w:tc>
        <w:tc>
          <w:tcPr>
            <w:tcW w:w="3280" w:type="dxa"/>
            <w:tcBorders>
              <w:top w:val="nil"/>
              <w:left w:val="nil"/>
              <w:bottom w:val="nil"/>
              <w:right w:val="nil"/>
            </w:tcBorders>
            <w:tcMar>
              <w:top w:w="128" w:type="dxa"/>
              <w:left w:w="43" w:type="dxa"/>
              <w:bottom w:w="43" w:type="dxa"/>
              <w:right w:w="43" w:type="dxa"/>
            </w:tcMar>
          </w:tcPr>
          <w:p w14:paraId="3E2840B7" w14:textId="77777777" w:rsidR="005D314E" w:rsidRPr="00576C3D" w:rsidRDefault="005D314E" w:rsidP="00576C3D">
            <w:r w:rsidRPr="00576C3D">
              <w:t>er de tildelte utslippene til varer g,</w:t>
            </w:r>
          </w:p>
        </w:tc>
      </w:tr>
      <w:tr w:rsidR="009D4FD2" w:rsidRPr="00576C3D" w14:paraId="4AB53F67" w14:textId="77777777">
        <w:trPr>
          <w:trHeight w:val="1140"/>
        </w:trPr>
        <w:tc>
          <w:tcPr>
            <w:tcW w:w="980" w:type="dxa"/>
            <w:tcBorders>
              <w:top w:val="nil"/>
              <w:left w:val="nil"/>
              <w:bottom w:val="nil"/>
              <w:right w:val="nil"/>
            </w:tcBorders>
            <w:tcMar>
              <w:top w:w="128" w:type="dxa"/>
              <w:left w:w="43" w:type="dxa"/>
              <w:bottom w:w="43" w:type="dxa"/>
              <w:right w:w="43" w:type="dxa"/>
            </w:tcMar>
          </w:tcPr>
          <w:p w14:paraId="358BE565" w14:textId="77777777" w:rsidR="005D314E" w:rsidRPr="00576C3D" w:rsidRDefault="005D314E" w:rsidP="00576C3D">
            <w:proofErr w:type="spellStart"/>
            <w:r w:rsidRPr="00576C3D">
              <w:t>AL</w:t>
            </w:r>
            <w:r w:rsidRPr="00576C3D">
              <w:rPr>
                <w:rStyle w:val="skrift-senket"/>
                <w:sz w:val="21"/>
              </w:rPr>
              <w:t>g</w:t>
            </w:r>
            <w:proofErr w:type="spellEnd"/>
          </w:p>
        </w:tc>
        <w:tc>
          <w:tcPr>
            <w:tcW w:w="3280" w:type="dxa"/>
            <w:tcBorders>
              <w:top w:val="nil"/>
              <w:left w:val="nil"/>
              <w:bottom w:val="nil"/>
              <w:right w:val="nil"/>
            </w:tcBorders>
            <w:tcMar>
              <w:top w:w="128" w:type="dxa"/>
              <w:left w:w="43" w:type="dxa"/>
              <w:bottom w:w="43" w:type="dxa"/>
              <w:right w:w="43" w:type="dxa"/>
            </w:tcMar>
          </w:tcPr>
          <w:p w14:paraId="52EC34DF" w14:textId="77777777" w:rsidR="005D314E" w:rsidRPr="00576C3D" w:rsidRDefault="005D314E" w:rsidP="00576C3D">
            <w:r w:rsidRPr="00576C3D">
              <w:t>er varenes aktivitetsnivå, som er mengden varer produsert i rapporteringsperioden i det aktuelle anlegget, og</w:t>
            </w:r>
          </w:p>
        </w:tc>
      </w:tr>
      <w:tr w:rsidR="009D4FD2" w:rsidRPr="00576C3D" w14:paraId="1809A4E5" w14:textId="77777777">
        <w:trPr>
          <w:trHeight w:val="2940"/>
        </w:trPr>
        <w:tc>
          <w:tcPr>
            <w:tcW w:w="980" w:type="dxa"/>
            <w:tcBorders>
              <w:top w:val="nil"/>
              <w:left w:val="nil"/>
              <w:bottom w:val="nil"/>
              <w:right w:val="nil"/>
            </w:tcBorders>
            <w:tcMar>
              <w:top w:w="128" w:type="dxa"/>
              <w:left w:w="43" w:type="dxa"/>
              <w:bottom w:w="43" w:type="dxa"/>
              <w:right w:w="43" w:type="dxa"/>
            </w:tcMar>
          </w:tcPr>
          <w:p w14:paraId="264E3DF1" w14:textId="77777777" w:rsidR="005D314E" w:rsidRPr="00576C3D" w:rsidRDefault="005D314E" w:rsidP="00576C3D">
            <w:proofErr w:type="spellStart"/>
            <w:r w:rsidRPr="00576C3D">
              <w:t>EE</w:t>
            </w:r>
            <w:r w:rsidRPr="00576C3D">
              <w:rPr>
                <w:rStyle w:val="skrift-senket"/>
                <w:sz w:val="21"/>
              </w:rPr>
              <w:t>InpMat</w:t>
            </w:r>
            <w:proofErr w:type="spellEnd"/>
          </w:p>
        </w:tc>
        <w:tc>
          <w:tcPr>
            <w:tcW w:w="3280" w:type="dxa"/>
            <w:tcBorders>
              <w:top w:val="nil"/>
              <w:left w:val="nil"/>
              <w:bottom w:val="nil"/>
              <w:right w:val="nil"/>
            </w:tcBorders>
            <w:tcMar>
              <w:top w:w="128" w:type="dxa"/>
              <w:left w:w="43" w:type="dxa"/>
              <w:bottom w:w="43" w:type="dxa"/>
              <w:right w:w="43" w:type="dxa"/>
            </w:tcMar>
          </w:tcPr>
          <w:p w14:paraId="22AB1321" w14:textId="77777777" w:rsidR="005D314E" w:rsidRPr="00576C3D" w:rsidRDefault="005D314E" w:rsidP="00576C3D">
            <w:r w:rsidRPr="00576C3D">
              <w:t xml:space="preserve">er de innbakte utslippene av innsatsmaterialene (forløperne) som forbrukes i produksjonsprosessen. Kun innsatsmaterialer (forløpere) oppført som relevante for systemgrensene for produksjonsprosessen som angitt i gjennomføringsrettsakten vedtatt i henhold til artikkel 7 nr. 7, skal vurderes. De relevante </w:t>
            </w:r>
            <w:proofErr w:type="spellStart"/>
            <w:r w:rsidRPr="00576C3D">
              <w:t>EE</w:t>
            </w:r>
            <w:r w:rsidRPr="00576C3D">
              <w:rPr>
                <w:rStyle w:val="skrift-senket"/>
                <w:sz w:val="21"/>
              </w:rPr>
              <w:t>InpMat</w:t>
            </w:r>
            <w:proofErr w:type="spellEnd"/>
            <w:r w:rsidRPr="00576C3D">
              <w:t xml:space="preserve"> beregnes som følger:</w:t>
            </w:r>
          </w:p>
        </w:tc>
      </w:tr>
    </w:tbl>
    <w:p w14:paraId="4F7B89AA" w14:textId="10580583" w:rsidR="005D314E" w:rsidRPr="00576C3D" w:rsidRDefault="00802F7A" w:rsidP="00576C3D">
      <w:r>
        <w:rPr>
          <w:noProof/>
        </w:rPr>
        <w:drawing>
          <wp:inline distT="0" distB="0" distL="0" distR="0" wp14:anchorId="51E06F6C" wp14:editId="1BD81FA0">
            <wp:extent cx="6076950" cy="2438400"/>
            <wp:effectExtent l="0" t="0" r="0" b="0"/>
            <wp:docPr id="1865302925"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438400"/>
                    </a:xfrm>
                    <a:prstGeom prst="rect">
                      <a:avLst/>
                    </a:prstGeom>
                    <a:noFill/>
                    <a:ln>
                      <a:noFill/>
                    </a:ln>
                  </pic:spPr>
                </pic:pic>
              </a:graphicData>
            </a:graphic>
          </wp:inline>
        </w:drawing>
      </w:r>
    </w:p>
    <w:p w14:paraId="515D1407" w14:textId="77777777" w:rsidR="005D314E" w:rsidRPr="00576C3D" w:rsidRDefault="005D314E" w:rsidP="00576C3D">
      <w:pPr>
        <w:pStyle w:val="friliste"/>
      </w:pPr>
      <w:r w:rsidRPr="00576C3D">
        <w:t>Der</w:t>
      </w:r>
    </w:p>
    <w:p w14:paraId="7AD61F24" w14:textId="77777777" w:rsidR="005D314E" w:rsidRPr="00576C3D" w:rsidRDefault="005D314E" w:rsidP="00576C3D">
      <w:pPr>
        <w:pStyle w:val="Tabellnavn"/>
      </w:pPr>
      <w:r w:rsidRPr="00576C3D">
        <w:t>02N0xx1</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700"/>
        <w:gridCol w:w="3540"/>
      </w:tblGrid>
      <w:tr w:rsidR="009D4FD2" w:rsidRPr="00576C3D" w14:paraId="2587A11A" w14:textId="77777777">
        <w:trPr>
          <w:trHeight w:val="880"/>
        </w:trPr>
        <w:tc>
          <w:tcPr>
            <w:tcW w:w="700" w:type="dxa"/>
            <w:tcBorders>
              <w:top w:val="nil"/>
              <w:left w:val="nil"/>
              <w:bottom w:val="nil"/>
              <w:right w:val="nil"/>
            </w:tcBorders>
            <w:tcMar>
              <w:top w:w="128" w:type="dxa"/>
              <w:left w:w="43" w:type="dxa"/>
              <w:bottom w:w="43" w:type="dxa"/>
              <w:right w:w="43" w:type="dxa"/>
            </w:tcMar>
          </w:tcPr>
          <w:p w14:paraId="037596AD" w14:textId="77777777" w:rsidR="005D314E" w:rsidRPr="00576C3D" w:rsidRDefault="005D314E" w:rsidP="00576C3D">
            <w:r w:rsidRPr="00576C3D">
              <w:t>M</w:t>
            </w:r>
            <w:r w:rsidRPr="00576C3D">
              <w:rPr>
                <w:rStyle w:val="skrift-senket"/>
                <w:sz w:val="21"/>
              </w:rPr>
              <w:t>i</w:t>
            </w:r>
          </w:p>
        </w:tc>
        <w:tc>
          <w:tcPr>
            <w:tcW w:w="3540" w:type="dxa"/>
            <w:tcBorders>
              <w:top w:val="nil"/>
              <w:left w:val="nil"/>
              <w:bottom w:val="nil"/>
              <w:right w:val="nil"/>
            </w:tcBorders>
            <w:tcMar>
              <w:top w:w="128" w:type="dxa"/>
              <w:left w:w="43" w:type="dxa"/>
              <w:bottom w:w="43" w:type="dxa"/>
              <w:right w:w="43" w:type="dxa"/>
            </w:tcMar>
          </w:tcPr>
          <w:p w14:paraId="51222238" w14:textId="77777777" w:rsidR="005D314E" w:rsidRPr="00576C3D" w:rsidRDefault="005D314E" w:rsidP="00576C3D">
            <w:r w:rsidRPr="00576C3D">
              <w:t xml:space="preserve">er massen av innsatsmaterialene </w:t>
            </w:r>
            <w:r w:rsidRPr="00576C3D">
              <w:br/>
              <w:t>(forløperne) som brukes i produksjonsprosessen, og</w:t>
            </w:r>
          </w:p>
        </w:tc>
      </w:tr>
      <w:tr w:rsidR="009D4FD2" w:rsidRPr="00576C3D" w14:paraId="2BEE34A6" w14:textId="77777777">
        <w:trPr>
          <w:trHeight w:val="2160"/>
        </w:trPr>
        <w:tc>
          <w:tcPr>
            <w:tcW w:w="700" w:type="dxa"/>
            <w:tcBorders>
              <w:top w:val="nil"/>
              <w:left w:val="nil"/>
              <w:bottom w:val="nil"/>
              <w:right w:val="nil"/>
            </w:tcBorders>
            <w:tcMar>
              <w:top w:w="128" w:type="dxa"/>
              <w:left w:w="43" w:type="dxa"/>
              <w:bottom w:w="43" w:type="dxa"/>
              <w:right w:w="43" w:type="dxa"/>
            </w:tcMar>
          </w:tcPr>
          <w:p w14:paraId="5F3C255B" w14:textId="77777777" w:rsidR="005D314E" w:rsidRPr="00576C3D" w:rsidRDefault="005D314E" w:rsidP="00576C3D">
            <w:r w:rsidRPr="00576C3D">
              <w:t>SEE</w:t>
            </w:r>
            <w:r w:rsidRPr="00576C3D">
              <w:rPr>
                <w:rStyle w:val="skrift-senket"/>
                <w:sz w:val="21"/>
              </w:rPr>
              <w:t>I</w:t>
            </w:r>
          </w:p>
        </w:tc>
        <w:tc>
          <w:tcPr>
            <w:tcW w:w="3540" w:type="dxa"/>
            <w:tcBorders>
              <w:top w:val="nil"/>
              <w:left w:val="nil"/>
              <w:bottom w:val="nil"/>
              <w:right w:val="nil"/>
            </w:tcBorders>
            <w:tcMar>
              <w:top w:w="128" w:type="dxa"/>
              <w:left w:w="43" w:type="dxa"/>
              <w:bottom w:w="43" w:type="dxa"/>
              <w:right w:w="43" w:type="dxa"/>
            </w:tcMar>
          </w:tcPr>
          <w:p w14:paraId="2171F5C4" w14:textId="77777777" w:rsidR="005D314E" w:rsidRPr="00576C3D" w:rsidRDefault="005D314E" w:rsidP="00576C3D">
            <w:r w:rsidRPr="00576C3D">
              <w:t xml:space="preserve">er de spesifikke innbakte utslippene for innsatsmaterialet (forløperen) i. For </w:t>
            </w:r>
            <w:proofErr w:type="spellStart"/>
            <w:r w:rsidRPr="00576C3D">
              <w:t>SEE</w:t>
            </w:r>
            <w:r w:rsidRPr="00576C3D">
              <w:rPr>
                <w:rStyle w:val="skrift-senket"/>
                <w:sz w:val="21"/>
              </w:rPr>
              <w:t>i</w:t>
            </w:r>
            <w:proofErr w:type="spellEnd"/>
            <w:r w:rsidRPr="00576C3D">
              <w:t xml:space="preserve"> skal operatøren av anlegget bruke verdien av utslippene fra det anlegget der innsatsmaterialet (forløperen) ble produsert, forutsatt at dette anleggets data kan måles på en tilfredsstillende måte.</w:t>
            </w:r>
          </w:p>
        </w:tc>
      </w:tr>
    </w:tbl>
    <w:p w14:paraId="36217662" w14:textId="77777777" w:rsidR="005D314E" w:rsidRPr="00576C3D" w:rsidRDefault="005D314E" w:rsidP="00576C3D">
      <w:pPr>
        <w:pStyle w:val="friliste"/>
      </w:pPr>
      <w:r w:rsidRPr="00576C3D">
        <w:t>4.</w:t>
      </w:r>
      <w:r w:rsidRPr="00576C3D">
        <w:tab/>
        <w:t>FASTSETTELSE AV STANDARDVERDIER OMHANDLET I ARTIKKEL 7 NR. 2 OG NR. 3</w:t>
      </w:r>
    </w:p>
    <w:p w14:paraId="3CC7674B" w14:textId="77777777" w:rsidR="005D314E" w:rsidRPr="00576C3D" w:rsidRDefault="005D314E" w:rsidP="00576C3D">
      <w:pPr>
        <w:pStyle w:val="Listeavsnitt"/>
      </w:pPr>
      <w:r w:rsidRPr="00576C3D">
        <w:t>Ved fastsettelse av standardverdier skal bare faktiske verdier brukes til å bestemme innbakte utslipp. Om det ikke foreligger faktiske verdier, kan litteraturverdier brukes. Kommisjonen skal offentliggjøre retningslinjer for framgangsmåten for å korrigere for avgasser eller klimagasser som brukes som innsatsmateriale, før den samler inn de dataene som kreves for å fastsette de relevante standardverdiene for hver varetype som er oppført i vedlegg I. Standardverdiene skal fastsettes på grunnlag av de beste tilgjengelige dataene. De beste tilgjengelige dataene skal være basert på pålitelige og offentlig tilgjengelige opplysninger. Standardverdiene skal revideres med jevne mellomrom gjennom gjennomføringsrettsaktene vedtatt i henhold til artikkel 7 nr. 7 på grunnlag av de mest oppdaterte og pålitelige opplysningene, herunder på grunnlag av opplysninger fra et tredjeland eller en gruppe tredjeland.</w:t>
      </w:r>
    </w:p>
    <w:p w14:paraId="48D26BFB" w14:textId="77777777" w:rsidR="005D314E" w:rsidRPr="00576C3D" w:rsidRDefault="005D314E" w:rsidP="00576C3D">
      <w:pPr>
        <w:pStyle w:val="friliste2"/>
      </w:pPr>
      <w:r w:rsidRPr="00576C3D">
        <w:t>4.1.</w:t>
      </w:r>
      <w:r w:rsidRPr="00576C3D">
        <w:tab/>
        <w:t>Standardverdier som nevnt i artikkel 7 nr. 2</w:t>
      </w:r>
    </w:p>
    <w:p w14:paraId="4B855DD1" w14:textId="77777777" w:rsidR="005D314E" w:rsidRPr="00576C3D" w:rsidRDefault="005D314E" w:rsidP="00576C3D">
      <w:pPr>
        <w:pStyle w:val="Listeavsnitt2"/>
      </w:pPr>
      <w:r w:rsidRPr="00576C3D">
        <w:t>Når de faktiske utslippene ikke kan bestemmes på en tilfredsstillende måte av den autoriserte CBAM-</w:t>
      </w:r>
      <w:proofErr w:type="spellStart"/>
      <w:r w:rsidRPr="00576C3D">
        <w:t>deklaranten</w:t>
      </w:r>
      <w:proofErr w:type="spellEnd"/>
      <w:r w:rsidRPr="00576C3D">
        <w:t xml:space="preserve">, skal standardverdiene brukes. Disse verdiene skal tilsvare den gjennomsnittlige utslippsintensiteten for hvert eksportland og for hver av varene som er oppført i vedlegg I, bortsett fra elektrisitet, økt med et forholdsmessig beregnet påslag. Dette påslaget skal fastsettes i gjennomføringsrettsaktene vedtatt i henhold til artikkel 7 nr. 7 og skal fastsettes på et hensiktsmessig nivå for å sikre </w:t>
      </w:r>
      <w:proofErr w:type="spellStart"/>
      <w:r w:rsidRPr="00576C3D">
        <w:t>CBAMs</w:t>
      </w:r>
      <w:proofErr w:type="spellEnd"/>
      <w:r w:rsidRPr="00576C3D">
        <w:t xml:space="preserve"> miljøintegritet, på grunnlag av de mest oppdaterte og pålitelige opplysningene, herunder opplysninger innhentet i overgangsperioden. Når pålitelige data for eksportlandet ikke kan anvendes for en varetype, skal standardverdiene baseres på den gjennomsnittlige utslippsintensiteten for de </w:t>
      </w:r>
      <w:proofErr w:type="spellStart"/>
      <w:r w:rsidRPr="00576C3D">
        <w:t>X</w:t>
      </w:r>
      <w:proofErr w:type="spellEnd"/>
      <w:r w:rsidRPr="00576C3D">
        <w:t xml:space="preserve"> % EU ETS-anleggene med dårligst ytelse for denne varetypen. Verdien av </w:t>
      </w:r>
      <w:proofErr w:type="spellStart"/>
      <w:r w:rsidRPr="00576C3D">
        <w:t>X</w:t>
      </w:r>
      <w:proofErr w:type="spellEnd"/>
      <w:r w:rsidRPr="00576C3D">
        <w:t xml:space="preserve"> skal fastsettes i gjennomføringsrettsaktene vedtatt i henhold til artikkel 7 nr. 7 og skal fastsettes på et hensiktsmessig nivå for å sikre </w:t>
      </w:r>
      <w:proofErr w:type="spellStart"/>
      <w:r w:rsidRPr="00576C3D">
        <w:t>CBAMs</w:t>
      </w:r>
      <w:proofErr w:type="spellEnd"/>
      <w:r w:rsidRPr="00576C3D">
        <w:t xml:space="preserve"> miljøintegritet, på grunnlag av de mest oppdaterte og pålitelige opplysningene, herunder opplysninger innhentet i overgangsperioden.</w:t>
      </w:r>
    </w:p>
    <w:p w14:paraId="566CE867" w14:textId="77777777" w:rsidR="005D314E" w:rsidRPr="00576C3D" w:rsidRDefault="005D314E" w:rsidP="00576C3D">
      <w:pPr>
        <w:pStyle w:val="friliste2"/>
      </w:pPr>
      <w:r w:rsidRPr="00576C3D">
        <w:t xml:space="preserve">4.2. </w:t>
      </w:r>
      <w:r w:rsidRPr="00576C3D">
        <w:tab/>
        <w:t>Standardverdier for importert elektrisitet som nevnt i artikkel 7 nr. 3</w:t>
      </w:r>
    </w:p>
    <w:p w14:paraId="2B1C8A37" w14:textId="77777777" w:rsidR="005D314E" w:rsidRPr="00576C3D" w:rsidRDefault="005D314E" w:rsidP="00576C3D">
      <w:pPr>
        <w:pStyle w:val="Listeavsnitt2"/>
      </w:pPr>
      <w:r w:rsidRPr="00576C3D">
        <w:t>Standardverdier for importert elektrisitet skal fastsettes for et tredjeland, en gruppe tredjeland eller en region i et tredjeland på grunnlag av enten bestemte standardverdier, i samsvar med nr. 4.2.1, eller, dersom disse verdiene ikke er tilgjengelige, på alternative standardverdier, i samsvar med nr. 4.2.2.</w:t>
      </w:r>
    </w:p>
    <w:p w14:paraId="00EF2ECF" w14:textId="77777777" w:rsidR="005D314E" w:rsidRPr="00576C3D" w:rsidRDefault="005D314E" w:rsidP="00576C3D">
      <w:pPr>
        <w:pStyle w:val="Listeavsnitt2"/>
      </w:pPr>
      <w:r w:rsidRPr="00576C3D">
        <w:t>Dersom elektrisiteten produseres i et tredjeland, en gruppe tredjeland, regioner i et tredjeland eller en medlemsstat og føres gjennom tredjeland, grupper av tredjeland, regioner i et tredjeland eller medlemsstater med det formål å importeres til Unionen, skal standardverdiene som skal brukes, være verdiene fra tredjelandet, gruppen av tredjeland eller regionen i et tredjeland der elektrisiteten ble produsert.</w:t>
      </w:r>
    </w:p>
    <w:p w14:paraId="72E371F8" w14:textId="77777777" w:rsidR="005D314E" w:rsidRPr="00576C3D" w:rsidRDefault="005D314E" w:rsidP="00576C3D">
      <w:pPr>
        <w:pStyle w:val="friliste3"/>
      </w:pPr>
      <w:r w:rsidRPr="00576C3D">
        <w:t>4.2.1.</w:t>
      </w:r>
      <w:r w:rsidRPr="00576C3D">
        <w:tab/>
      </w:r>
      <w:r w:rsidRPr="00576C3D">
        <w:tab/>
        <w:t>Spesifikke standardverdier for et tredjeland, en gruppe tredjeland eller en region i et tredjeland</w:t>
      </w:r>
    </w:p>
    <w:p w14:paraId="1A982ED5" w14:textId="77777777" w:rsidR="005D314E" w:rsidRPr="00576C3D" w:rsidRDefault="005D314E" w:rsidP="00576C3D">
      <w:pPr>
        <w:pStyle w:val="Listeavsnitt3"/>
      </w:pPr>
      <w:r w:rsidRPr="00576C3D">
        <w:t>Spesifikke standardverdier skal fastsettes til CO</w:t>
      </w:r>
      <w:r w:rsidRPr="00576C3D">
        <w:rPr>
          <w:rStyle w:val="skrift-senket"/>
        </w:rPr>
        <w:t>2</w:t>
      </w:r>
      <w:r w:rsidRPr="00576C3D">
        <w:t>-utslippsfaktoren i tredjelandet, gruppen av tredjeland eller regionen i et tredjeland, på grunnlag av de beste dataene som er tilgjengelige for Kommisjonen.</w:t>
      </w:r>
    </w:p>
    <w:p w14:paraId="5B496A6F" w14:textId="77777777" w:rsidR="005D314E" w:rsidRPr="00576C3D" w:rsidRDefault="005D314E" w:rsidP="00576C3D">
      <w:pPr>
        <w:pStyle w:val="friliste3"/>
      </w:pPr>
      <w:r w:rsidRPr="00576C3D">
        <w:t>4.2.2.</w:t>
      </w:r>
      <w:r w:rsidRPr="00576C3D">
        <w:tab/>
      </w:r>
      <w:r w:rsidRPr="00576C3D">
        <w:tab/>
        <w:t>Alternative standardverdier</w:t>
      </w:r>
    </w:p>
    <w:p w14:paraId="2A8501FC" w14:textId="77777777" w:rsidR="005D314E" w:rsidRPr="00576C3D" w:rsidRDefault="005D314E" w:rsidP="00576C3D">
      <w:pPr>
        <w:pStyle w:val="Listeavsnitt3"/>
      </w:pPr>
      <w:r w:rsidRPr="00576C3D">
        <w:t>Dersom en bestemt standardverdi ikke er tilgjengelig for et tredjeland, en gruppe tredjeland eller en region i et tredjeland, skal den alternative standardverdien for elektrisitet fastsettes til CO</w:t>
      </w:r>
      <w:r w:rsidRPr="00576C3D">
        <w:rPr>
          <w:rStyle w:val="skrift-senket"/>
        </w:rPr>
        <w:t>2</w:t>
      </w:r>
      <w:r w:rsidRPr="00576C3D">
        <w:t>-utslippsfaktoren i Unionen.</w:t>
      </w:r>
    </w:p>
    <w:p w14:paraId="4BA9FC55" w14:textId="77777777" w:rsidR="005D314E" w:rsidRPr="00576C3D" w:rsidRDefault="005D314E" w:rsidP="00576C3D">
      <w:pPr>
        <w:pStyle w:val="Listeavsnitt3"/>
      </w:pPr>
      <w:r w:rsidRPr="00576C3D">
        <w:t>Dersom det på grunnlag av pålitelige data kan påvises at CO</w:t>
      </w:r>
      <w:r w:rsidRPr="00576C3D">
        <w:rPr>
          <w:rStyle w:val="skrift-senket"/>
        </w:rPr>
        <w:t>2</w:t>
      </w:r>
      <w:r w:rsidRPr="00576C3D">
        <w:t>-utslippsfaktoren i et tredjeland, en gruppe tredjeland eller en region i et tredjeland er lavere enn den bestemte standardverdien fastsatt av Kommisjonen eller lavere enn CO</w:t>
      </w:r>
      <w:r w:rsidRPr="00576C3D">
        <w:rPr>
          <w:rStyle w:val="skrift-senket"/>
        </w:rPr>
        <w:t>2</w:t>
      </w:r>
      <w:r w:rsidRPr="00576C3D">
        <w:t>-utslippsfaktoren i Unionen, kan en alternativ standardverdi basert på denne CO</w:t>
      </w:r>
      <w:r w:rsidRPr="00576C3D">
        <w:rPr>
          <w:rStyle w:val="skrift-senket"/>
        </w:rPr>
        <w:t>2</w:t>
      </w:r>
      <w:r w:rsidRPr="00576C3D">
        <w:t>-utslippsfaktoren brukes for det aktuelle tredjelandet, gruppen av tredjeland eller regionen i et tredjeland.</w:t>
      </w:r>
    </w:p>
    <w:p w14:paraId="53423646" w14:textId="77777777" w:rsidR="005D314E" w:rsidRPr="00576C3D" w:rsidRDefault="005D314E" w:rsidP="00576C3D">
      <w:pPr>
        <w:pStyle w:val="friliste2"/>
      </w:pPr>
      <w:r w:rsidRPr="00576C3D">
        <w:t>4.3. Standardverdier for innbakte indirekte utslipp</w:t>
      </w:r>
    </w:p>
    <w:p w14:paraId="2E28FCC3" w14:textId="77777777" w:rsidR="005D314E" w:rsidRPr="00576C3D" w:rsidRDefault="005D314E" w:rsidP="00576C3D">
      <w:pPr>
        <w:pStyle w:val="Listeavsnitt2"/>
      </w:pPr>
      <w:r w:rsidRPr="00576C3D">
        <w:t>Standardverdiene for de indirekte utslippene som er innbakt i en vare produsert i et tredjeland, skal fastsettes på grunnlag av en standardverdi beregnet på grunnlag av gjennomsnittet av enten utslippsfaktoren for Unionens elektrisitetsnett, utslippsfaktoren for opprinnelseslandets elektrisitetsnett eller CO</w:t>
      </w:r>
      <w:r w:rsidRPr="00576C3D">
        <w:rPr>
          <w:rStyle w:val="skrift-senket"/>
        </w:rPr>
        <w:t>2</w:t>
      </w:r>
      <w:r w:rsidRPr="00576C3D">
        <w:t>-utslippsfaktoren for prisfastsettende kilder i opprinnelseslandet for den elektrisiteten som brukes til produksjon av denne varen.</w:t>
      </w:r>
    </w:p>
    <w:p w14:paraId="75759CCD" w14:textId="77777777" w:rsidR="005D314E" w:rsidRPr="00576C3D" w:rsidRDefault="005D314E" w:rsidP="00576C3D">
      <w:pPr>
        <w:pStyle w:val="Listeavsnitt2"/>
      </w:pPr>
      <w:r w:rsidRPr="00576C3D">
        <w:t>Dersom et tredjeland eller en gruppe tredjeland på grunnlag av pålitelige data påviser for Kommisjonen at den gjennomsnittlige utslippsfaktoren for elektrisitetsmiksen eller CO</w:t>
      </w:r>
      <w:r w:rsidRPr="00576C3D">
        <w:rPr>
          <w:rStyle w:val="skrift-senket"/>
        </w:rPr>
        <w:t>2</w:t>
      </w:r>
      <w:r w:rsidRPr="00576C3D">
        <w:t>-utslippsfaktoren for prisfastsettende kilder i tredjelandet eller gruppen av tredjeland er lavere enn standardverdien for indirekte utslipp, skal det fastsettes en alternativ standardverdi basert på denne gjennomsnittlige CO</w:t>
      </w:r>
      <w:r w:rsidRPr="00576C3D">
        <w:rPr>
          <w:rStyle w:val="skrift-senket"/>
        </w:rPr>
        <w:t>2</w:t>
      </w:r>
      <w:r w:rsidRPr="00576C3D">
        <w:t>-utslippsfaktoren for dette landet eller denne gruppen av land.</w:t>
      </w:r>
    </w:p>
    <w:p w14:paraId="3C0D6E1E" w14:textId="77777777" w:rsidR="005D314E" w:rsidRPr="00576C3D" w:rsidRDefault="005D314E" w:rsidP="00576C3D">
      <w:pPr>
        <w:pStyle w:val="Listeavsnitt2"/>
      </w:pPr>
      <w:r w:rsidRPr="00576C3D">
        <w:t>Kommisjonen skal senest 30. juni 2025 vedta en gjennomføringsrettsakt i henhold til artikkel 7 nr. 7 for nærmere å angi hvilke av beregningsmetodene fastsatt i samsvar med første ledd som skal gjelde for beregningen av standardverdier. For dette formålet skal Kommisjonen basere seg på de mest oppdaterte og pålitelige dataene, herunder data samlet inn i overgangsperioden, med hensyn til den mengden elektrisitet som brukes til produksjon av varene som er oppført i vedlegg I, samt opprinnelseslandet, produksjonskilden og utslippsfaktorene knyttet til denne elektrisiteten. Den spesifikke beregningsmetoden skal bestemmes på grunnlag av den mest hensiktsmessige måten å oppnå begge de følgende kriteriene på:</w:t>
      </w:r>
    </w:p>
    <w:p w14:paraId="6A46424C" w14:textId="77777777" w:rsidR="005D314E" w:rsidRPr="00576C3D" w:rsidRDefault="005D314E" w:rsidP="00576C3D">
      <w:pPr>
        <w:pStyle w:val="friliste3"/>
      </w:pPr>
      <w:r w:rsidRPr="00576C3D">
        <w:t>–</w:t>
      </w:r>
      <w:r w:rsidRPr="00576C3D">
        <w:tab/>
        <w:t>Forebygge karbonlekkasje.</w:t>
      </w:r>
    </w:p>
    <w:p w14:paraId="246A4FCD" w14:textId="77777777" w:rsidR="005D314E" w:rsidRPr="00576C3D" w:rsidRDefault="005D314E" w:rsidP="00576C3D">
      <w:pPr>
        <w:pStyle w:val="friliste3"/>
      </w:pPr>
      <w:r w:rsidRPr="00576C3D">
        <w:t>–</w:t>
      </w:r>
      <w:r w:rsidRPr="00576C3D">
        <w:tab/>
        <w:t xml:space="preserve">Sikre </w:t>
      </w:r>
      <w:proofErr w:type="spellStart"/>
      <w:r w:rsidRPr="00576C3D">
        <w:t>CBAMs</w:t>
      </w:r>
      <w:proofErr w:type="spellEnd"/>
      <w:r w:rsidRPr="00576C3D">
        <w:t xml:space="preserve"> miljømessige integritet.</w:t>
      </w:r>
    </w:p>
    <w:p w14:paraId="1D843E6C" w14:textId="77777777" w:rsidR="005D314E" w:rsidRPr="00576C3D" w:rsidRDefault="005D314E" w:rsidP="00576C3D">
      <w:pPr>
        <w:pStyle w:val="friliste"/>
      </w:pPr>
      <w:r w:rsidRPr="00576C3D">
        <w:t>5.</w:t>
      </w:r>
      <w:r w:rsidRPr="00576C3D">
        <w:tab/>
        <w:t xml:space="preserve">VILKÅR FOR </w:t>
      </w:r>
      <w:proofErr w:type="gramStart"/>
      <w:r w:rsidRPr="00576C3D">
        <w:t>ANVENDELSE</w:t>
      </w:r>
      <w:proofErr w:type="gramEnd"/>
      <w:r w:rsidRPr="00576C3D">
        <w:t xml:space="preserve"> AV FAKTISKE INNBAKTE UTSLIPP I IMPORTERT ELEKTRISITET</w:t>
      </w:r>
    </w:p>
    <w:p w14:paraId="755B6BA1" w14:textId="77777777" w:rsidR="005D314E" w:rsidRPr="00576C3D" w:rsidRDefault="005D314E" w:rsidP="00576C3D">
      <w:pPr>
        <w:pStyle w:val="Listeavsnitt"/>
      </w:pPr>
      <w:r w:rsidRPr="00576C3D">
        <w:t>En autorisert CBAM-</w:t>
      </w:r>
      <w:proofErr w:type="spellStart"/>
      <w:r w:rsidRPr="00576C3D">
        <w:t>deklarant</w:t>
      </w:r>
      <w:proofErr w:type="spellEnd"/>
      <w:r w:rsidRPr="00576C3D">
        <w:t xml:space="preserve"> kan anvende faktiske innbakte utslipp i stedet for standardverdier for beregningen nevnt i artikkel 7 nr. 3 dersom følgende kumulative kriterier er oppfylt:</w:t>
      </w:r>
    </w:p>
    <w:p w14:paraId="4F3CFABF" w14:textId="77777777" w:rsidR="005D314E" w:rsidRPr="00576C3D" w:rsidRDefault="005D314E" w:rsidP="00576C3D">
      <w:pPr>
        <w:pStyle w:val="friliste2"/>
      </w:pPr>
      <w:r w:rsidRPr="00576C3D">
        <w:t>a)</w:t>
      </w:r>
      <w:r w:rsidRPr="00576C3D">
        <w:tab/>
        <w:t>Mengden elektrisitet som det kreves bruk av faktiske innbakte utslipp for, dekkes av en avtale om kjøp av kraft mellom den autoriserte CBAM-</w:t>
      </w:r>
      <w:proofErr w:type="spellStart"/>
      <w:r w:rsidRPr="00576C3D">
        <w:t>deklaranten</w:t>
      </w:r>
      <w:proofErr w:type="spellEnd"/>
      <w:r w:rsidRPr="00576C3D">
        <w:t xml:space="preserve"> og en produsent av elektrisitet som befinner seg i et tredjeland.</w:t>
      </w:r>
    </w:p>
    <w:p w14:paraId="716C4395" w14:textId="77777777" w:rsidR="005D314E" w:rsidRPr="00576C3D" w:rsidRDefault="005D314E" w:rsidP="00576C3D">
      <w:pPr>
        <w:pStyle w:val="friliste2"/>
      </w:pPr>
      <w:r w:rsidRPr="00576C3D">
        <w:t>b)</w:t>
      </w:r>
      <w:r w:rsidRPr="00576C3D">
        <w:tab/>
        <w:t>Anlegget som produserer elektrisitet, er enten direkte forbundet med Unionens transmisjonsnett, eller det kan påvises at det på eksporttidspunktet ikke var noen fysisk flaskehals på noe punkt i nettet mellom anlegget og Unionens transmisjonsnett.</w:t>
      </w:r>
    </w:p>
    <w:p w14:paraId="61698EEF" w14:textId="77777777" w:rsidR="005D314E" w:rsidRPr="00576C3D" w:rsidRDefault="005D314E" w:rsidP="00576C3D">
      <w:pPr>
        <w:pStyle w:val="friliste2"/>
      </w:pPr>
      <w:r w:rsidRPr="00576C3D">
        <w:t>c)</w:t>
      </w:r>
      <w:r w:rsidRPr="00576C3D">
        <w:tab/>
        <w:t xml:space="preserve">Anlegget som produserer elektrisitet </w:t>
      </w:r>
      <w:proofErr w:type="gramStart"/>
      <w:r w:rsidRPr="00576C3D">
        <w:t>avgir</w:t>
      </w:r>
      <w:proofErr w:type="gramEnd"/>
      <w:r w:rsidRPr="00576C3D">
        <w:t xml:space="preserve"> ikke mer enn 550 g CO</w:t>
      </w:r>
      <w:r w:rsidRPr="00576C3D">
        <w:rPr>
          <w:rStyle w:val="skrift-senket"/>
        </w:rPr>
        <w:t>2</w:t>
      </w:r>
      <w:r w:rsidRPr="00576C3D">
        <w:t xml:space="preserve"> fra fossilt brensel per kilowattime elektrisitet.</w:t>
      </w:r>
    </w:p>
    <w:p w14:paraId="299D3E91" w14:textId="77777777" w:rsidR="005D314E" w:rsidRPr="00576C3D" w:rsidRDefault="005D314E" w:rsidP="00576C3D">
      <w:pPr>
        <w:pStyle w:val="friliste2"/>
      </w:pPr>
      <w:r w:rsidRPr="00576C3D">
        <w:t>d)</w:t>
      </w:r>
      <w:r w:rsidRPr="00576C3D">
        <w:tab/>
        <w:t>Mengden elektrisitet som det kreves bruk av faktiske innbakte utslipp for, er bindende fastsatt for den tildelte overføringskapasiteten av alle ansvarlige operatører av transmisjonsnett i opprinnelseslandet, mottakerlandet og, dersom relevant, hvert transittland, og den angitte kapasiteten og produksjonen av elektrisitet ved anlegget refererer til samme tidsrom, som ikke skal være lengre enn én time.</w:t>
      </w:r>
    </w:p>
    <w:p w14:paraId="10760F0E" w14:textId="77777777" w:rsidR="005D314E" w:rsidRPr="00576C3D" w:rsidRDefault="005D314E" w:rsidP="00576C3D">
      <w:pPr>
        <w:pStyle w:val="friliste2"/>
      </w:pPr>
      <w:r w:rsidRPr="00576C3D">
        <w:t>e)</w:t>
      </w:r>
      <w:r w:rsidRPr="00576C3D">
        <w:tab/>
        <w:t xml:space="preserve">Oppfyllelsen av ovennevnte kriterier sertifiseres av en akkreditert </w:t>
      </w:r>
      <w:proofErr w:type="spellStart"/>
      <w:r w:rsidRPr="00576C3D">
        <w:t>verifikatør</w:t>
      </w:r>
      <w:proofErr w:type="spellEnd"/>
      <w:r w:rsidRPr="00576C3D">
        <w:t>, som minst én gang i måneden skal motta delrapporter som viser hvordan disse kriteriene oppfylles.</w:t>
      </w:r>
    </w:p>
    <w:p w14:paraId="1C2C3F6A" w14:textId="77777777" w:rsidR="005D314E" w:rsidRPr="00576C3D" w:rsidRDefault="005D314E" w:rsidP="00576C3D">
      <w:pPr>
        <w:pStyle w:val="Listeavsnitt2"/>
      </w:pPr>
      <w:r w:rsidRPr="00576C3D">
        <w:t>Den akkumulerte mengden elektrisitet i henhold til avtalen om kjøp av kraft og de tilsvarende faktiske innbakte utslippene skal utelates ved beregningen av henholdsvis landutslippsfaktoren eller CO</w:t>
      </w:r>
      <w:r w:rsidRPr="00576C3D">
        <w:rPr>
          <w:rStyle w:val="skrift-senket"/>
        </w:rPr>
        <w:t>2</w:t>
      </w:r>
      <w:r w:rsidRPr="00576C3D">
        <w:t>-utslippsfaktoren som brukes ved beregningen av indirekte innbakte utslipp av elektrisitet i varer i samsvar med nr. 4.3.</w:t>
      </w:r>
    </w:p>
    <w:p w14:paraId="6889893E" w14:textId="77777777" w:rsidR="005D314E" w:rsidRPr="00576C3D" w:rsidRDefault="005D314E" w:rsidP="00576C3D">
      <w:pPr>
        <w:pStyle w:val="friliste"/>
      </w:pPr>
      <w:r w:rsidRPr="00576C3D">
        <w:t>6.</w:t>
      </w:r>
      <w:r w:rsidRPr="00576C3D">
        <w:tab/>
        <w:t>VILKÅR FOR Å BRUKE FAKTISKE INNBAKTE UTSLIPP FOR INDIREKTE UTSLIPP</w:t>
      </w:r>
    </w:p>
    <w:p w14:paraId="7F62F127" w14:textId="77777777" w:rsidR="005D314E" w:rsidRPr="00576C3D" w:rsidRDefault="005D314E" w:rsidP="00576C3D">
      <w:pPr>
        <w:pStyle w:val="Listeavsnitt"/>
      </w:pPr>
      <w:r w:rsidRPr="00576C3D">
        <w:t>En autorisert CBAM-</w:t>
      </w:r>
      <w:proofErr w:type="spellStart"/>
      <w:r w:rsidRPr="00576C3D">
        <w:t>deklarant</w:t>
      </w:r>
      <w:proofErr w:type="spellEnd"/>
      <w:r w:rsidRPr="00576C3D">
        <w:t xml:space="preserve"> kan anvende faktiske innbakte utslipp i stedet for standardverdier for beregningen nevnt i artikkel 7 nr. 4 dersom vedkommende kan påvise en direkte teknisk forbindelse mellom anlegget der den importerte varen produseres og kraftproduksjonskilden, eller dersom operatøren av dette anlegget har inngått en avtale om kjøp av kraft med en produsent av elektrisitet som befinner seg i et tredjeland, for en mengde elektrisitet som tilsvarer den mengden som det kreves bruk av en bestemt verdi for.</w:t>
      </w:r>
    </w:p>
    <w:p w14:paraId="11CA5903" w14:textId="77777777" w:rsidR="005D314E" w:rsidRPr="00576C3D" w:rsidRDefault="005D314E" w:rsidP="00576C3D">
      <w:pPr>
        <w:pStyle w:val="friliste"/>
      </w:pPr>
      <w:r w:rsidRPr="00576C3D">
        <w:t>7.</w:t>
      </w:r>
      <w:r w:rsidRPr="00576C3D">
        <w:tab/>
        <w:t>TILPASNING AV STANDARDVERDIER OMHANDLET I ARTIKKEL 7 NR. 2 PÅ GRUNNLAG AV REGIONSPESIFIKKE EGENSKAPER</w:t>
      </w:r>
    </w:p>
    <w:p w14:paraId="1AC574AD" w14:textId="77777777" w:rsidR="005D314E" w:rsidRPr="00576C3D" w:rsidRDefault="005D314E" w:rsidP="00576C3D">
      <w:pPr>
        <w:pStyle w:val="Listeavsnitt"/>
      </w:pPr>
      <w:r w:rsidRPr="00576C3D">
        <w:t>Standardverdier kan tilpasses bestemte områder og regioner i tredjeland der spesifikke egenskaper råder med hensyn til objektive utslippsfaktorer. Når data tilpasset disse spesifikke lokale egenskapene er tilgjengelige og mer målrettede standardverdier kan bestemmes, kan slike verdier brukes.</w:t>
      </w:r>
    </w:p>
    <w:p w14:paraId="2419C73F" w14:textId="77777777" w:rsidR="005D314E" w:rsidRPr="00576C3D" w:rsidRDefault="005D314E" w:rsidP="00576C3D">
      <w:pPr>
        <w:pStyle w:val="Listeavsnitt"/>
      </w:pPr>
      <w:r w:rsidRPr="00576C3D">
        <w:t xml:space="preserve">Dersom </w:t>
      </w:r>
      <w:proofErr w:type="spellStart"/>
      <w:r w:rsidRPr="00576C3D">
        <w:t>deklaranter</w:t>
      </w:r>
      <w:proofErr w:type="spellEnd"/>
      <w:r w:rsidRPr="00576C3D">
        <w:t xml:space="preserve"> for varer med opprinnelse i et tredjeland, en gruppe tredjeland eller en region i et tredjeland på grunnlag av pålitelige data kan påvise at alternative regionspesifikke tilpasninger av standardverdier er lavere enn standardverdiene fastsatt av Kommisjonen, kan slike regionspesifikke tilpasninger brukes.</w:t>
      </w:r>
    </w:p>
    <w:p w14:paraId="0BFD90C9" w14:textId="77777777" w:rsidR="005D314E" w:rsidRPr="00576C3D" w:rsidRDefault="005D314E" w:rsidP="00576C3D">
      <w:pPr>
        <w:pStyle w:val="avsnitt-undertittel"/>
      </w:pPr>
      <w:r w:rsidRPr="00576C3D">
        <w:t>VEDLEGG V</w:t>
      </w:r>
    </w:p>
    <w:p w14:paraId="19A81AC8" w14:textId="77777777" w:rsidR="005D314E" w:rsidRPr="00576C3D" w:rsidRDefault="005D314E" w:rsidP="00576C3D">
      <w:pPr>
        <w:pStyle w:val="Undertittel"/>
      </w:pPr>
      <w:r w:rsidRPr="00576C3D">
        <w:t>Bokføringskrav til opplysninger som brukes til beregning av innbakte utslipp i henhold til artikkel 7 nr. 5</w:t>
      </w:r>
    </w:p>
    <w:p w14:paraId="61182121" w14:textId="77777777" w:rsidR="005D314E" w:rsidRPr="00576C3D" w:rsidRDefault="005D314E" w:rsidP="00576C3D">
      <w:pPr>
        <w:pStyle w:val="friliste"/>
      </w:pPr>
      <w:r w:rsidRPr="00576C3D">
        <w:t>1.</w:t>
      </w:r>
      <w:r w:rsidRPr="00576C3D">
        <w:tab/>
        <w:t>MINIMUMSDATA SOM SKAL OPPBEVARES AV EN AUTORISERT CBAM-DEKLARANT FOR IMPORTERTE VARER:</w:t>
      </w:r>
    </w:p>
    <w:p w14:paraId="75BBCAD9" w14:textId="77777777" w:rsidR="005D314E" w:rsidRPr="00576C3D" w:rsidRDefault="005D314E" w:rsidP="00576C3D">
      <w:pPr>
        <w:pStyle w:val="friliste2"/>
      </w:pPr>
      <w:r w:rsidRPr="00576C3D">
        <w:t>1.</w:t>
      </w:r>
      <w:r w:rsidRPr="00576C3D">
        <w:tab/>
        <w:t>Data som identifiserer den autoriserte CBAM-</w:t>
      </w:r>
      <w:proofErr w:type="spellStart"/>
      <w:r w:rsidRPr="00576C3D">
        <w:t>deklaranten</w:t>
      </w:r>
      <w:proofErr w:type="spellEnd"/>
      <w:r w:rsidRPr="00576C3D">
        <w:t>:</w:t>
      </w:r>
    </w:p>
    <w:p w14:paraId="4061DB32" w14:textId="77777777" w:rsidR="005D314E" w:rsidRPr="00576C3D" w:rsidRDefault="005D314E" w:rsidP="00576C3D">
      <w:pPr>
        <w:pStyle w:val="friliste3"/>
      </w:pPr>
      <w:r w:rsidRPr="00576C3D">
        <w:t>a)</w:t>
      </w:r>
      <w:r w:rsidRPr="00576C3D">
        <w:tab/>
        <w:t>Navn.</w:t>
      </w:r>
    </w:p>
    <w:p w14:paraId="0522EA74" w14:textId="77777777" w:rsidR="005D314E" w:rsidRPr="00576C3D" w:rsidRDefault="005D314E" w:rsidP="00576C3D">
      <w:pPr>
        <w:pStyle w:val="friliste3"/>
      </w:pPr>
      <w:r w:rsidRPr="00576C3D">
        <w:t>b)</w:t>
      </w:r>
      <w:r w:rsidRPr="00576C3D">
        <w:tab/>
        <w:t>CBAM-kontonummer.</w:t>
      </w:r>
    </w:p>
    <w:p w14:paraId="27891D17" w14:textId="77777777" w:rsidR="005D314E" w:rsidRPr="00576C3D" w:rsidRDefault="005D314E" w:rsidP="00576C3D">
      <w:pPr>
        <w:pStyle w:val="friliste2"/>
      </w:pPr>
      <w:r w:rsidRPr="00576C3D">
        <w:t>2.</w:t>
      </w:r>
      <w:r w:rsidRPr="00576C3D">
        <w:tab/>
        <w:t>Data om importerte varer:</w:t>
      </w:r>
    </w:p>
    <w:p w14:paraId="522DB0A1" w14:textId="77777777" w:rsidR="005D314E" w:rsidRPr="00576C3D" w:rsidRDefault="005D314E" w:rsidP="00576C3D">
      <w:pPr>
        <w:pStyle w:val="friliste3"/>
      </w:pPr>
      <w:r w:rsidRPr="00576C3D">
        <w:t>a)</w:t>
      </w:r>
      <w:r w:rsidRPr="00576C3D">
        <w:tab/>
        <w:t>Type og mengde av hver varetype.</w:t>
      </w:r>
    </w:p>
    <w:p w14:paraId="3DDDEFF3" w14:textId="77777777" w:rsidR="005D314E" w:rsidRPr="00576C3D" w:rsidRDefault="005D314E" w:rsidP="00576C3D">
      <w:pPr>
        <w:pStyle w:val="friliste3"/>
      </w:pPr>
      <w:r w:rsidRPr="00576C3D">
        <w:t>b)</w:t>
      </w:r>
      <w:r w:rsidRPr="00576C3D">
        <w:tab/>
        <w:t>Opprinnelsesland.</w:t>
      </w:r>
    </w:p>
    <w:p w14:paraId="064B007E" w14:textId="77777777" w:rsidR="005D314E" w:rsidRPr="00576C3D" w:rsidRDefault="005D314E" w:rsidP="00576C3D">
      <w:pPr>
        <w:pStyle w:val="friliste3"/>
      </w:pPr>
      <w:r w:rsidRPr="00576C3D">
        <w:t>c)</w:t>
      </w:r>
      <w:r w:rsidRPr="00576C3D">
        <w:tab/>
        <w:t>Faktiske utslipp eller standardverdier.</w:t>
      </w:r>
    </w:p>
    <w:p w14:paraId="065E92A1" w14:textId="77777777" w:rsidR="005D314E" w:rsidRPr="00576C3D" w:rsidRDefault="005D314E" w:rsidP="00576C3D">
      <w:pPr>
        <w:pStyle w:val="friliste"/>
      </w:pPr>
      <w:r w:rsidRPr="00576C3D">
        <w:t>2.</w:t>
      </w:r>
      <w:r w:rsidRPr="00576C3D">
        <w:tab/>
        <w:t>MINIMUMSDATA SOM SKAL OPPBEVARES AV EN AUTORISERT CBAM-DEKLARANT FOR INNBAKTE UTSLIPP I IMPORTERTE VARER SOM BESTEMMES BASERT PÅ FAKTISKE UTSLIPP</w:t>
      </w:r>
    </w:p>
    <w:p w14:paraId="752BEE72" w14:textId="77777777" w:rsidR="005D314E" w:rsidRPr="00576C3D" w:rsidRDefault="005D314E" w:rsidP="00576C3D">
      <w:pPr>
        <w:pStyle w:val="Listeavsnitt"/>
      </w:pPr>
      <w:r w:rsidRPr="00576C3D">
        <w:t>For hver type importerte varer der innbakte utslipp bestemmes på grunnlag av faktiske utslipp, skal følgende tilleggsdata oppbevares:</w:t>
      </w:r>
    </w:p>
    <w:p w14:paraId="316781F4" w14:textId="77777777" w:rsidR="005D314E" w:rsidRPr="00576C3D" w:rsidRDefault="005D314E" w:rsidP="00576C3D">
      <w:pPr>
        <w:pStyle w:val="friliste2"/>
      </w:pPr>
      <w:r w:rsidRPr="00576C3D">
        <w:t>a)</w:t>
      </w:r>
      <w:r w:rsidRPr="00576C3D">
        <w:tab/>
        <w:t>Identifikasjon av anlegget der varene ble produsert.</w:t>
      </w:r>
    </w:p>
    <w:p w14:paraId="6AF12EE7" w14:textId="77777777" w:rsidR="005D314E" w:rsidRPr="00576C3D" w:rsidRDefault="005D314E" w:rsidP="00576C3D">
      <w:pPr>
        <w:pStyle w:val="friliste2"/>
      </w:pPr>
      <w:r w:rsidRPr="00576C3D">
        <w:t>b)</w:t>
      </w:r>
      <w:r w:rsidRPr="00576C3D">
        <w:tab/>
        <w:t>Kontaktopplysninger til operatøren av anlegget der varene er produsert.</w:t>
      </w:r>
    </w:p>
    <w:p w14:paraId="41A135C6" w14:textId="77777777" w:rsidR="005D314E" w:rsidRPr="00576C3D" w:rsidRDefault="005D314E" w:rsidP="00576C3D">
      <w:pPr>
        <w:pStyle w:val="friliste2"/>
      </w:pPr>
      <w:r w:rsidRPr="00576C3D">
        <w:t>c)</w:t>
      </w:r>
      <w:r w:rsidRPr="00576C3D">
        <w:tab/>
        <w:t>Verifiseringsrapportene omhandlet i vedlegg VI.</w:t>
      </w:r>
    </w:p>
    <w:p w14:paraId="6098CF75" w14:textId="77777777" w:rsidR="005D314E" w:rsidRPr="00576C3D" w:rsidRDefault="005D314E" w:rsidP="00576C3D">
      <w:pPr>
        <w:pStyle w:val="friliste2"/>
      </w:pPr>
      <w:r w:rsidRPr="00576C3D">
        <w:t>d)</w:t>
      </w:r>
      <w:r w:rsidRPr="00576C3D">
        <w:tab/>
        <w:t>De spesifikke innbakte utslippene fra varene.</w:t>
      </w:r>
    </w:p>
    <w:p w14:paraId="615BB63C" w14:textId="77777777" w:rsidR="005D314E" w:rsidRPr="00576C3D" w:rsidRDefault="005D314E" w:rsidP="00576C3D">
      <w:pPr>
        <w:pStyle w:val="avsnitt-undertittel"/>
      </w:pPr>
      <w:r w:rsidRPr="00576C3D">
        <w:t>VEDLEGG VI</w:t>
      </w:r>
    </w:p>
    <w:p w14:paraId="166B09DF" w14:textId="77777777" w:rsidR="005D314E" w:rsidRPr="00576C3D" w:rsidRDefault="005D314E" w:rsidP="00576C3D">
      <w:pPr>
        <w:pStyle w:val="Undertittel"/>
      </w:pPr>
      <w:r w:rsidRPr="00576C3D">
        <w:t>Verifiseringsprinsipper og innhold i verifiseringsrapporter i henhold til artikkel 8</w:t>
      </w:r>
    </w:p>
    <w:p w14:paraId="23665CF9" w14:textId="77777777" w:rsidR="005D314E" w:rsidRPr="00576C3D" w:rsidRDefault="005D314E" w:rsidP="00576C3D">
      <w:pPr>
        <w:pStyle w:val="friliste"/>
      </w:pPr>
      <w:r w:rsidRPr="00576C3D">
        <w:t>1.</w:t>
      </w:r>
      <w:r w:rsidRPr="00576C3D">
        <w:tab/>
        <w:t>VERIFISERINGSPRINSIPPER</w:t>
      </w:r>
    </w:p>
    <w:p w14:paraId="29096F56" w14:textId="77777777" w:rsidR="005D314E" w:rsidRPr="00576C3D" w:rsidRDefault="005D314E" w:rsidP="00576C3D">
      <w:pPr>
        <w:pStyle w:val="Listeavsnitt"/>
      </w:pPr>
      <w:r w:rsidRPr="00576C3D">
        <w:t>Følgende prinsipper skal gjelde:</w:t>
      </w:r>
    </w:p>
    <w:p w14:paraId="6A00F687" w14:textId="77777777" w:rsidR="005D314E" w:rsidRPr="00576C3D" w:rsidRDefault="005D314E" w:rsidP="00576C3D">
      <w:pPr>
        <w:pStyle w:val="friliste2"/>
      </w:pPr>
      <w:r w:rsidRPr="00576C3D">
        <w:t>a)</w:t>
      </w:r>
      <w:r w:rsidRPr="00576C3D">
        <w:tab/>
      </w:r>
      <w:proofErr w:type="spellStart"/>
      <w:r w:rsidRPr="00576C3D">
        <w:t>Verifikatørene</w:t>
      </w:r>
      <w:proofErr w:type="spellEnd"/>
      <w:r w:rsidRPr="00576C3D">
        <w:t xml:space="preserve"> skal utføre verifiseringer med en holdning av profesjonell skepsis.</w:t>
      </w:r>
    </w:p>
    <w:p w14:paraId="41FE9367" w14:textId="77777777" w:rsidR="005D314E" w:rsidRPr="00576C3D" w:rsidRDefault="005D314E" w:rsidP="00576C3D">
      <w:pPr>
        <w:pStyle w:val="friliste2"/>
      </w:pPr>
      <w:r w:rsidRPr="00576C3D">
        <w:t>b)</w:t>
      </w:r>
      <w:r w:rsidRPr="00576C3D">
        <w:tab/>
        <w:t xml:space="preserve">De samlede innbakte utslippene som skal angis i CBAM-erklæringen, skal anses som verifisert bare dersom </w:t>
      </w:r>
      <w:proofErr w:type="spellStart"/>
      <w:r w:rsidRPr="00576C3D">
        <w:t>verifikatøren</w:t>
      </w:r>
      <w:proofErr w:type="spellEnd"/>
      <w:r w:rsidRPr="00576C3D">
        <w:t xml:space="preserve"> med rimelig sikkerhet finner at verifiseringsrapporten er fri for vesentlige feilopplysninger og vesentlige avvik når det gjelder beregningen av innbakte utslipp i samsvar med reglene i vedlegg IV.</w:t>
      </w:r>
    </w:p>
    <w:p w14:paraId="5E69A1A5" w14:textId="77777777" w:rsidR="005D314E" w:rsidRPr="00576C3D" w:rsidRDefault="005D314E" w:rsidP="00576C3D">
      <w:pPr>
        <w:pStyle w:val="friliste2"/>
      </w:pPr>
      <w:r w:rsidRPr="00576C3D">
        <w:t>c)</w:t>
      </w:r>
      <w:r w:rsidRPr="00576C3D">
        <w:tab/>
        <w:t xml:space="preserve">Det er obligatorisk for </w:t>
      </w:r>
      <w:proofErr w:type="spellStart"/>
      <w:r w:rsidRPr="00576C3D">
        <w:t>verifikatøren</w:t>
      </w:r>
      <w:proofErr w:type="spellEnd"/>
      <w:r w:rsidRPr="00576C3D">
        <w:t xml:space="preserve"> å foreta anleggsbesøk, med mindre spesifikke kriterier for å avstå fra anleggsbesøket er oppfylt.</w:t>
      </w:r>
    </w:p>
    <w:p w14:paraId="156B1EDF" w14:textId="77777777" w:rsidR="005D314E" w:rsidRPr="00576C3D" w:rsidRDefault="005D314E" w:rsidP="00576C3D">
      <w:pPr>
        <w:pStyle w:val="friliste2"/>
      </w:pPr>
      <w:r w:rsidRPr="00576C3D">
        <w:t>d)</w:t>
      </w:r>
      <w:r w:rsidRPr="00576C3D">
        <w:tab/>
        <w:t xml:space="preserve">For å avgjøre om feilopplysninger eller avvik er vesentlige, skal </w:t>
      </w:r>
      <w:proofErr w:type="spellStart"/>
      <w:r w:rsidRPr="00576C3D">
        <w:t>verifikatøren</w:t>
      </w:r>
      <w:proofErr w:type="spellEnd"/>
      <w:r w:rsidRPr="00576C3D">
        <w:t xml:space="preserve"> bruke terskler fastsatt i gjennomføringsrettsaktene vedtatt i samsvar med artikkel 8 nr. 3.</w:t>
      </w:r>
    </w:p>
    <w:p w14:paraId="498C0204" w14:textId="77777777" w:rsidR="005D314E" w:rsidRPr="00576C3D" w:rsidRDefault="005D314E" w:rsidP="00576C3D">
      <w:pPr>
        <w:pStyle w:val="Listeavsnitt2"/>
      </w:pPr>
      <w:r w:rsidRPr="00576C3D">
        <w:t xml:space="preserve">For parametere der det ikke er fastsatt slike terskler, skal </w:t>
      </w:r>
      <w:proofErr w:type="spellStart"/>
      <w:r w:rsidRPr="00576C3D">
        <w:t>verifikatøren</w:t>
      </w:r>
      <w:proofErr w:type="spellEnd"/>
      <w:r w:rsidRPr="00576C3D">
        <w:t xml:space="preserve"> bruke sin kunnskap som sakkyndig for å avgjøre om feilopplysninger eller avvik, enkeltvis eller sammen med andre feilopplysninger eller avvik, som følge av deres størrelse og art skal anses som vesentlige.</w:t>
      </w:r>
    </w:p>
    <w:p w14:paraId="1B36255A" w14:textId="77777777" w:rsidR="005D314E" w:rsidRPr="00576C3D" w:rsidRDefault="005D314E" w:rsidP="00576C3D">
      <w:pPr>
        <w:pStyle w:val="friliste"/>
      </w:pPr>
      <w:r w:rsidRPr="00576C3D">
        <w:t>2.</w:t>
      </w:r>
      <w:r w:rsidRPr="00576C3D">
        <w:tab/>
        <w:t>VERIFISERINGSRAPPORTENS INNHOLD</w:t>
      </w:r>
    </w:p>
    <w:p w14:paraId="0743B5A1" w14:textId="77777777" w:rsidR="005D314E" w:rsidRPr="00576C3D" w:rsidRDefault="005D314E" w:rsidP="00576C3D">
      <w:pPr>
        <w:pStyle w:val="Listeavsnitt"/>
      </w:pPr>
      <w:proofErr w:type="spellStart"/>
      <w:r w:rsidRPr="00576C3D">
        <w:t>Verifikatøren</w:t>
      </w:r>
      <w:proofErr w:type="spellEnd"/>
      <w:r w:rsidRPr="00576C3D">
        <w:t xml:space="preserve"> skal utarbeide en verifiseringsrapport som fastsetter de innbakte utslippene fra varene og spesifiserer alle aspekter som er relevante for det utførte arbeidet, og som skal inneholde minst følgende opplysninger:</w:t>
      </w:r>
    </w:p>
    <w:p w14:paraId="4B9BA35A" w14:textId="77777777" w:rsidR="005D314E" w:rsidRPr="00576C3D" w:rsidRDefault="005D314E" w:rsidP="00576C3D">
      <w:pPr>
        <w:pStyle w:val="friliste2"/>
      </w:pPr>
      <w:r w:rsidRPr="00576C3D">
        <w:t>a)</w:t>
      </w:r>
      <w:r w:rsidRPr="00576C3D">
        <w:tab/>
        <w:t>Identifikasjon av anleggene der varene ble produsert.</w:t>
      </w:r>
    </w:p>
    <w:p w14:paraId="2CD68093" w14:textId="77777777" w:rsidR="005D314E" w:rsidRPr="00576C3D" w:rsidRDefault="005D314E" w:rsidP="00576C3D">
      <w:pPr>
        <w:pStyle w:val="friliste2"/>
      </w:pPr>
      <w:r w:rsidRPr="00576C3D">
        <w:t>b)</w:t>
      </w:r>
      <w:r w:rsidRPr="00576C3D">
        <w:tab/>
        <w:t>Kontaktopplysninger til operatøren av anleggene der varene er produsert.</w:t>
      </w:r>
    </w:p>
    <w:p w14:paraId="3C0F48D1" w14:textId="77777777" w:rsidR="005D314E" w:rsidRPr="00576C3D" w:rsidRDefault="005D314E" w:rsidP="00576C3D">
      <w:pPr>
        <w:pStyle w:val="friliste2"/>
      </w:pPr>
      <w:r w:rsidRPr="00576C3D">
        <w:t>c)</w:t>
      </w:r>
      <w:r w:rsidRPr="00576C3D">
        <w:tab/>
        <w:t>Gjeldende rapporteringsperiode.</w:t>
      </w:r>
    </w:p>
    <w:p w14:paraId="3169435B" w14:textId="77777777" w:rsidR="005D314E" w:rsidRPr="00576C3D" w:rsidRDefault="005D314E" w:rsidP="00576C3D">
      <w:pPr>
        <w:pStyle w:val="friliste2"/>
      </w:pPr>
      <w:r w:rsidRPr="00576C3D">
        <w:t>d)</w:t>
      </w:r>
      <w:r w:rsidRPr="00576C3D">
        <w:tab/>
      </w:r>
      <w:proofErr w:type="spellStart"/>
      <w:r w:rsidRPr="00576C3D">
        <w:t>Verifikatørens</w:t>
      </w:r>
      <w:proofErr w:type="spellEnd"/>
      <w:r w:rsidRPr="00576C3D">
        <w:t xml:space="preserve"> navn og kontaktopplysninger.</w:t>
      </w:r>
    </w:p>
    <w:p w14:paraId="2E49D433" w14:textId="77777777" w:rsidR="005D314E" w:rsidRPr="00576C3D" w:rsidRDefault="005D314E" w:rsidP="00576C3D">
      <w:pPr>
        <w:pStyle w:val="friliste2"/>
      </w:pPr>
      <w:r w:rsidRPr="00576C3D">
        <w:t>e)</w:t>
      </w:r>
      <w:r w:rsidRPr="00576C3D">
        <w:tab/>
      </w:r>
      <w:proofErr w:type="spellStart"/>
      <w:r w:rsidRPr="00576C3D">
        <w:t>Verifikatørens</w:t>
      </w:r>
      <w:proofErr w:type="spellEnd"/>
      <w:r w:rsidRPr="00576C3D">
        <w:t xml:space="preserve"> akkrediteringsnummer og akkrediteringsorganets navn.</w:t>
      </w:r>
    </w:p>
    <w:p w14:paraId="615E6FB5" w14:textId="77777777" w:rsidR="005D314E" w:rsidRPr="00576C3D" w:rsidRDefault="005D314E" w:rsidP="00576C3D">
      <w:pPr>
        <w:pStyle w:val="friliste2"/>
      </w:pPr>
      <w:r w:rsidRPr="00576C3D">
        <w:t>f)</w:t>
      </w:r>
      <w:r w:rsidRPr="00576C3D">
        <w:tab/>
        <w:t>Datoen for anleggsbesøkene, dersom det er relevant, eller årsakene til at det ikke er foretatt et anleggsbesøk,</w:t>
      </w:r>
    </w:p>
    <w:p w14:paraId="7EF06205" w14:textId="77777777" w:rsidR="005D314E" w:rsidRPr="00576C3D" w:rsidRDefault="005D314E" w:rsidP="00576C3D">
      <w:pPr>
        <w:pStyle w:val="friliste2"/>
      </w:pPr>
      <w:r w:rsidRPr="00576C3D">
        <w:t>g)</w:t>
      </w:r>
      <w:r w:rsidRPr="00576C3D">
        <w:tab/>
        <w:t>Mengder av hver type deklarerte varer produsert i rapporteringsperioden.</w:t>
      </w:r>
    </w:p>
    <w:p w14:paraId="66ED4FE7" w14:textId="77777777" w:rsidR="005D314E" w:rsidRPr="00576C3D" w:rsidRDefault="005D314E" w:rsidP="00576C3D">
      <w:pPr>
        <w:pStyle w:val="friliste2"/>
      </w:pPr>
      <w:r w:rsidRPr="00576C3D">
        <w:t>h)</w:t>
      </w:r>
      <w:r w:rsidRPr="00576C3D">
        <w:tab/>
        <w:t>Kvantifisering av direkte utslipp fra anlegget i løpet av rapporteringsperioden.</w:t>
      </w:r>
    </w:p>
    <w:p w14:paraId="391F34F3" w14:textId="77777777" w:rsidR="005D314E" w:rsidRPr="00576C3D" w:rsidRDefault="005D314E" w:rsidP="00576C3D">
      <w:pPr>
        <w:pStyle w:val="friliste2"/>
      </w:pPr>
      <w:r w:rsidRPr="00576C3D">
        <w:t>i)</w:t>
      </w:r>
      <w:r w:rsidRPr="00576C3D">
        <w:tab/>
        <w:t>En beskrivelse av hvordan utslippene fra anlegget tilskrives ulike typer varer.</w:t>
      </w:r>
    </w:p>
    <w:p w14:paraId="7D3F148F" w14:textId="77777777" w:rsidR="005D314E" w:rsidRPr="00576C3D" w:rsidRDefault="005D314E" w:rsidP="00576C3D">
      <w:pPr>
        <w:pStyle w:val="friliste2"/>
      </w:pPr>
      <w:r w:rsidRPr="00576C3D">
        <w:t>j)</w:t>
      </w:r>
      <w:r w:rsidRPr="00576C3D">
        <w:tab/>
        <w:t>Kvantitativ informasjon om varene, utslippene og energistrømmene som ikke er knyttet til disse varene.</w:t>
      </w:r>
    </w:p>
    <w:p w14:paraId="78049A52" w14:textId="77777777" w:rsidR="005D314E" w:rsidRPr="00576C3D" w:rsidRDefault="005D314E" w:rsidP="00576C3D">
      <w:pPr>
        <w:pStyle w:val="friliste2"/>
      </w:pPr>
      <w:r w:rsidRPr="00576C3D">
        <w:t>k)</w:t>
      </w:r>
      <w:r w:rsidRPr="00576C3D">
        <w:tab/>
        <w:t>Ved sammensatte varer:</w:t>
      </w:r>
    </w:p>
    <w:p w14:paraId="63A13D0A" w14:textId="77777777" w:rsidR="005D314E" w:rsidRPr="00576C3D" w:rsidRDefault="005D314E" w:rsidP="00576C3D">
      <w:pPr>
        <w:pStyle w:val="friliste3"/>
      </w:pPr>
      <w:r w:rsidRPr="00576C3D">
        <w:t>i)</w:t>
      </w:r>
      <w:r w:rsidRPr="00576C3D">
        <w:tab/>
        <w:t>Mengder av hvert innsatsmateriale (hver forløper) som brukes.</w:t>
      </w:r>
    </w:p>
    <w:p w14:paraId="3BAF8F36" w14:textId="77777777" w:rsidR="005D314E" w:rsidRPr="00576C3D" w:rsidRDefault="005D314E" w:rsidP="00576C3D">
      <w:pPr>
        <w:pStyle w:val="friliste3"/>
      </w:pPr>
      <w:r w:rsidRPr="00576C3D">
        <w:t>ii)</w:t>
      </w:r>
      <w:r w:rsidRPr="00576C3D">
        <w:tab/>
        <w:t>De spesifikke innbakte utslippene tilknyttet hvert av innsatsmaterialene (hver av forløperne) som brukes.</w:t>
      </w:r>
    </w:p>
    <w:p w14:paraId="5915D7A4" w14:textId="77777777" w:rsidR="005D314E" w:rsidRPr="00576C3D" w:rsidRDefault="005D314E" w:rsidP="00576C3D">
      <w:pPr>
        <w:pStyle w:val="friliste3"/>
      </w:pPr>
      <w:r w:rsidRPr="00576C3D">
        <w:t>iii)</w:t>
      </w:r>
      <w:r w:rsidRPr="00576C3D">
        <w:tab/>
        <w:t>Dersom det brukes faktiske utslipp: identifikasjon av anleggene der innsatsmaterialet (forløperen) er produsert, og de faktiske utslippene fra produksjonen av dette materialet.</w:t>
      </w:r>
    </w:p>
    <w:p w14:paraId="35FEA44B" w14:textId="77777777" w:rsidR="005D314E" w:rsidRPr="00576C3D" w:rsidRDefault="005D314E" w:rsidP="00576C3D">
      <w:pPr>
        <w:pStyle w:val="friliste2"/>
      </w:pPr>
      <w:r w:rsidRPr="00576C3D">
        <w:t>l)</w:t>
      </w:r>
      <w:r w:rsidRPr="00576C3D">
        <w:tab/>
      </w:r>
      <w:proofErr w:type="spellStart"/>
      <w:r w:rsidRPr="00576C3D">
        <w:t>Verifikatørens</w:t>
      </w:r>
      <w:proofErr w:type="spellEnd"/>
      <w:r w:rsidRPr="00576C3D">
        <w:t xml:space="preserve"> uttalelse som bekrefter at vedkommende med rimelig sikkerhet anser at rapporten er fri for vesentlige feilopplysninger og vesentlige avvik fra beregningsreglene i vedlegg IV.</w:t>
      </w:r>
    </w:p>
    <w:p w14:paraId="04F19270" w14:textId="77777777" w:rsidR="005D314E" w:rsidRPr="00576C3D" w:rsidRDefault="005D314E" w:rsidP="00576C3D">
      <w:pPr>
        <w:pStyle w:val="friliste2"/>
      </w:pPr>
      <w:r w:rsidRPr="00576C3D">
        <w:t>m)</w:t>
      </w:r>
      <w:r w:rsidRPr="00576C3D">
        <w:tab/>
        <w:t>Opplysninger om vesentlige feilopplysninger som er funnet og korrigert.</w:t>
      </w:r>
    </w:p>
    <w:p w14:paraId="428B8736" w14:textId="77777777" w:rsidR="005D314E" w:rsidRPr="00576C3D" w:rsidRDefault="005D314E" w:rsidP="00576C3D">
      <w:pPr>
        <w:pStyle w:val="friliste2"/>
      </w:pPr>
      <w:r w:rsidRPr="00576C3D">
        <w:t>n)</w:t>
      </w:r>
      <w:r w:rsidRPr="00576C3D">
        <w:tab/>
        <w:t>Opplysninger om vesentlige avvik fra beregningsreglene fastsatt i vedlegg IV som er funnet og korrigert.</w:t>
      </w:r>
    </w:p>
    <w:p w14:paraId="7DCF091E" w14:textId="5118EE3B" w:rsidR="005D314E" w:rsidRPr="00F05D58" w:rsidRDefault="00F05D58" w:rsidP="00F05D58">
      <w:pPr>
        <w:pStyle w:val="Overskrift1"/>
        <w:rPr>
          <w:color w:val="EE0000"/>
        </w:rPr>
      </w:pPr>
      <w:r w:rsidRPr="00F05D58">
        <w:rPr>
          <w:color w:val="EE0000"/>
        </w:rPr>
        <w:t>[</w:t>
      </w:r>
      <w:proofErr w:type="spellStart"/>
      <w:r w:rsidRPr="00F05D58">
        <w:rPr>
          <w:color w:val="EE0000"/>
        </w:rPr>
        <w:t>Vedleggsnr</w:t>
      </w:r>
      <w:proofErr w:type="spellEnd"/>
      <w:r w:rsidRPr="00F05D58">
        <w:rPr>
          <w:color w:val="EE0000"/>
        </w:rPr>
        <w:t xml:space="preserve"> resett]</w:t>
      </w:r>
    </w:p>
    <w:p w14:paraId="0A9DB053" w14:textId="4478277F" w:rsidR="005D314E" w:rsidRPr="00576C3D" w:rsidRDefault="005D314E" w:rsidP="00576C3D">
      <w:pPr>
        <w:pStyle w:val="vedlegg-nr"/>
      </w:pPr>
    </w:p>
    <w:p w14:paraId="5E820D55" w14:textId="77777777" w:rsidR="005D314E" w:rsidRPr="00576C3D" w:rsidRDefault="005D314E" w:rsidP="00576C3D">
      <w:pPr>
        <w:pStyle w:val="vedlegg-tit"/>
      </w:pPr>
      <w:r w:rsidRPr="00576C3D">
        <w:t xml:space="preserve">Europaparlaments- og rådsforordning (EU) 2025/2083 </w:t>
      </w:r>
      <w:r w:rsidRPr="00576C3D">
        <w:br/>
        <w:t xml:space="preserve">av 8. oktober 2025 om endring av forordning (EU) 2023/956 med hensyn til forenkling og styrking av </w:t>
      </w:r>
      <w:r w:rsidRPr="00576C3D">
        <w:br/>
        <w:t>karbongrensejusteringsmekanismen</w:t>
      </w:r>
    </w:p>
    <w:p w14:paraId="3E466406" w14:textId="77777777" w:rsidR="005D314E" w:rsidRPr="00576C3D" w:rsidRDefault="005D314E" w:rsidP="00576C3D">
      <w:r w:rsidRPr="00576C3D">
        <w:t>EUROPAPARLAMENTET OG RÅDET FOR DEN EUROPEISKE UNION HAR</w:t>
      </w:r>
    </w:p>
    <w:p w14:paraId="2D781478" w14:textId="77777777" w:rsidR="005D314E" w:rsidRPr="00576C3D" w:rsidRDefault="005D314E" w:rsidP="00576C3D">
      <w:r w:rsidRPr="00576C3D">
        <w:t>under henvisning til traktaten om Den europeiske unions virkemåte, særlig artikkel 192 nr. 1,</w:t>
      </w:r>
    </w:p>
    <w:p w14:paraId="72B614B6" w14:textId="77777777" w:rsidR="005D314E" w:rsidRPr="00576C3D" w:rsidRDefault="005D314E" w:rsidP="00576C3D">
      <w:r w:rsidRPr="00576C3D">
        <w:t>under henvisning til forslag fra Europakommisjonen,</w:t>
      </w:r>
    </w:p>
    <w:p w14:paraId="4E457125" w14:textId="77777777" w:rsidR="005D314E" w:rsidRPr="00576C3D" w:rsidRDefault="005D314E" w:rsidP="00576C3D">
      <w:r w:rsidRPr="00576C3D">
        <w:t xml:space="preserve">etter oversending av utkast til </w:t>
      </w:r>
      <w:proofErr w:type="spellStart"/>
      <w:r w:rsidRPr="00576C3D">
        <w:t>regelverksakt</w:t>
      </w:r>
      <w:proofErr w:type="spellEnd"/>
      <w:r w:rsidRPr="00576C3D">
        <w:t xml:space="preserve"> til de nasjonale parlamentene,</w:t>
      </w:r>
    </w:p>
    <w:p w14:paraId="591268FD" w14:textId="77777777" w:rsidR="005D314E" w:rsidRPr="00576C3D" w:rsidRDefault="005D314E" w:rsidP="00576C3D">
      <w:r w:rsidRPr="00576C3D">
        <w:t>under henvisning til uttalelse fra Den europeiske økonomiske og sosiale komité</w:t>
      </w:r>
      <w:r w:rsidRPr="00576C3D">
        <w:rPr>
          <w:rStyle w:val="Fotnotereferanse"/>
        </w:rPr>
        <w:footnoteReference w:id="29"/>
      </w:r>
      <w:r w:rsidRPr="00576C3D">
        <w:t>,</w:t>
      </w:r>
    </w:p>
    <w:p w14:paraId="325295DE" w14:textId="77777777" w:rsidR="005D314E" w:rsidRPr="00576C3D" w:rsidRDefault="005D314E" w:rsidP="00576C3D">
      <w:r w:rsidRPr="00576C3D">
        <w:t>etter samråd med Regionkomiteen,</w:t>
      </w:r>
    </w:p>
    <w:p w14:paraId="254C24F7" w14:textId="77777777" w:rsidR="005D314E" w:rsidRPr="00576C3D" w:rsidRDefault="005D314E" w:rsidP="00576C3D">
      <w:r w:rsidRPr="00576C3D">
        <w:t>etter den ordinære regelverksprosedyren</w:t>
      </w:r>
      <w:r w:rsidRPr="00576C3D">
        <w:rPr>
          <w:rStyle w:val="Fotnotereferanse"/>
        </w:rPr>
        <w:footnoteReference w:id="30"/>
      </w:r>
      <w:r w:rsidRPr="00576C3D">
        <w:t xml:space="preserve"> og</w:t>
      </w:r>
    </w:p>
    <w:p w14:paraId="7532DDDC" w14:textId="77777777" w:rsidR="005D314E" w:rsidRPr="00576C3D" w:rsidRDefault="005D314E" w:rsidP="00576C3D">
      <w:r w:rsidRPr="00576C3D">
        <w:t>ut fra følgende betraktninger:</w:t>
      </w:r>
    </w:p>
    <w:p w14:paraId="3B7641B9" w14:textId="77777777" w:rsidR="005D314E" w:rsidRPr="00576C3D" w:rsidRDefault="005D314E" w:rsidP="00576C3D">
      <w:pPr>
        <w:pStyle w:val="friliste"/>
      </w:pPr>
      <w:r w:rsidRPr="00576C3D">
        <w:t>1)</w:t>
      </w:r>
      <w:r w:rsidRPr="00576C3D">
        <w:tab/>
        <w:t>Siden overgangsperioden som er fastsatt i europaparlaments- og rådsforordning (EU) 2023/956</w:t>
      </w:r>
      <w:r w:rsidRPr="00576C3D">
        <w:rPr>
          <w:rStyle w:val="Fotnotereferanse"/>
        </w:rPr>
        <w:footnoteReference w:id="31"/>
      </w:r>
      <w:r w:rsidRPr="00576C3D">
        <w:t xml:space="preserve"> begynte 1. oktober 2023, har Kommisjonen samlet inn data og informasjon om gjennomføringen av karbongrensejusteringsmekanismen («CBAM») som er fastsatt i den nevnte forordningen, blant annet gjennom analysen av kvartalsrapporter fra rapporterende </w:t>
      </w:r>
      <w:proofErr w:type="spellStart"/>
      <w:r w:rsidRPr="00576C3D">
        <w:t>deklaranter</w:t>
      </w:r>
      <w:proofErr w:type="spellEnd"/>
      <w:r w:rsidRPr="00576C3D">
        <w:t>. Informasjonen som er samlet inn og informasjonsutvekslingen med interessentene, deriblant i ekspertgruppen om CBAM, har vist områder der CBAM kan forenkles og styrkes i samsvar med Unionens forpliktelse til å sikre en smidig gjennomføring av CBAM når overgangsperioden utløper 1. januar 2026.</w:t>
      </w:r>
    </w:p>
    <w:p w14:paraId="42C43956" w14:textId="77777777" w:rsidR="005D314E" w:rsidRPr="00576C3D" w:rsidRDefault="005D314E" w:rsidP="00576C3D">
      <w:pPr>
        <w:pStyle w:val="friliste"/>
      </w:pPr>
      <w:r w:rsidRPr="00576C3D">
        <w:t>2)</w:t>
      </w:r>
      <w:r w:rsidRPr="00576C3D">
        <w:tab/>
        <w:t>Erfaringene som er gjort og dataene som er samlet inn i overgangsperioden om fordelingen av importører til Unionen av varer oppført i vedlegg I til forordning (EU) 2023/956, tilsier at bare en liten andel av disse importørene står for de klart største utslippene som er innbakt i importerte varer. Unntaket som gjelder for import av varer med ubetydelig verdi, det vil si varer som ikke overstiger totalt 150 euro per sending, omhandlet i artikkel 23 i rådsforordning (EF) nr. 1186/2009</w:t>
      </w:r>
      <w:r w:rsidRPr="00576C3D">
        <w:rPr>
          <w:rStyle w:val="Fotnotereferanse"/>
        </w:rPr>
        <w:footnoteReference w:id="32"/>
      </w:r>
      <w:r w:rsidRPr="00576C3D">
        <w:t>, synes ikke tilstrekkelig til å sikre at CBAM får virkning for importører i forhold til disse importørenes påvirkning på utslippene som omfattes av forordning (EU) 2023/956. For importører av små varemengder kan det være urimelig belastende å oppfylle rapporteringsforpliktelsene og de økonomiske forpliktelsene fastsatt i forordning (EU) 2023/956. Det bør derfor innføres et nytt unntak slik at importører av små mengder, målt etter masse, av varer oppført i vedlegg I til forordning (EU) 2023/956 kan unntas fra forpliktelser i henhold til den nevnte forordningen, samtidig som miljømålet for CBAM og ordningens evne til å oppnå det forespeilede klimamålet opprettholdes.</w:t>
      </w:r>
    </w:p>
    <w:p w14:paraId="7CD87DFE" w14:textId="77777777" w:rsidR="005D314E" w:rsidRPr="00576C3D" w:rsidRDefault="005D314E" w:rsidP="00576C3D">
      <w:pPr>
        <w:pStyle w:val="friliste"/>
      </w:pPr>
      <w:r w:rsidRPr="00576C3D">
        <w:t>3)</w:t>
      </w:r>
      <w:r w:rsidRPr="00576C3D">
        <w:tab/>
        <w:t>En ny terskelverdi basert på den samlede nettomassen av de importerte varene i et gitt kalenderår per importør (en «samlet massebasert terskelverdi») bør innføres i forordning (EU) 2023/956 og innledningsvis fastsettes til 50 tonn. En samlet massebasert terskelverdi bør gjelde kumulativt for alle varer i sektorene jern og stål, aluminium, gjødsel og sement. Dersom nettomassen av alle varer som er importert av en importør i et gitt kalenderår, ikke kumulativt overstiger den samlede massebaserte terskelverdien, bør en slik importør, herunder enhver importør med status som autorisert CBAM-</w:t>
      </w:r>
      <w:proofErr w:type="spellStart"/>
      <w:r w:rsidRPr="00576C3D">
        <w:t>deklarant</w:t>
      </w:r>
      <w:proofErr w:type="spellEnd"/>
      <w:r w:rsidRPr="00576C3D">
        <w:t>, i et gitt kalenderår unntas fra forpliktelsene i henhold til forordning (EU) 2023/956 («</w:t>
      </w:r>
      <w:r w:rsidRPr="00576C3D">
        <w:rPr>
          <w:rStyle w:val="kursiv"/>
        </w:rPr>
        <w:t xml:space="preserve">de </w:t>
      </w:r>
      <w:proofErr w:type="spellStart"/>
      <w:r w:rsidRPr="00576C3D">
        <w:rPr>
          <w:rStyle w:val="kursiv"/>
        </w:rPr>
        <w:t>minimis</w:t>
      </w:r>
      <w:proofErr w:type="spellEnd"/>
      <w:r w:rsidRPr="00576C3D">
        <w:t>-unntaket»). Dersom en importør i løpet av et relevant kalenderår overskrider den samlede massebaserte terskelverdien, bør denne importøren være underlagt forpliktelser i henhold til forordning (EU) 2023/956 med hensyn til alle utslipp som er innbakt i alle varer som er importert i det aktuelle kalenderåret, herunder særlig plikten til å oppnå status som autorisert CBAM-</w:t>
      </w:r>
      <w:proofErr w:type="spellStart"/>
      <w:r w:rsidRPr="00576C3D">
        <w:t>deklarant</w:t>
      </w:r>
      <w:proofErr w:type="spellEnd"/>
      <w:r w:rsidRPr="00576C3D">
        <w:t>, plikten til å sende inn en CBAM-erklæring med hensyn til alle utslipp som er innbakt i alle varer som er importert i det aktuelle kalenderåret, og plikten til å kjøpe og innlevere CBAM-sertifikater med hensyn til alle disse utslippene.</w:t>
      </w:r>
    </w:p>
    <w:p w14:paraId="18666CBE" w14:textId="77777777" w:rsidR="005D314E" w:rsidRPr="00576C3D" w:rsidRDefault="005D314E" w:rsidP="00576C3D">
      <w:pPr>
        <w:pStyle w:val="friliste"/>
      </w:pPr>
      <w:r w:rsidRPr="00576C3D">
        <w:t>4)</w:t>
      </w:r>
      <w:r w:rsidRPr="00576C3D">
        <w:tab/>
        <w:t xml:space="preserve">I sektorene for elektrisitet og hydrogen er viktige egenskaper som importmengde, handelsmønstre, tollinformasjon og utslippsintensiteter vesentlig forskjellige fra tilsvarende egenskaper i jern- og stål-, aluminium-, gjødsel- og sementsektorene. Disse forskjellene innebærer at en samlet massebasert terskelverdi for import av elektrisitet og hydrogen vil kreve at det innføres komplekse tilpasninger som ikke vil gjøre det mulig å redusere de administrative kostnadene betydelig for importørene i disse sektorene. Import av elektrisitet eller hydrogen bør derfor ikke omfattes av </w:t>
      </w:r>
      <w:r w:rsidRPr="00576C3D">
        <w:rPr>
          <w:rStyle w:val="kursiv"/>
        </w:rPr>
        <w:t xml:space="preserve">de </w:t>
      </w:r>
      <w:proofErr w:type="spellStart"/>
      <w:r w:rsidRPr="00576C3D">
        <w:rPr>
          <w:rStyle w:val="kursiv"/>
        </w:rPr>
        <w:t>minimis</w:t>
      </w:r>
      <w:proofErr w:type="spellEnd"/>
      <w:r w:rsidRPr="00576C3D">
        <w:t>-unntaket.</w:t>
      </w:r>
    </w:p>
    <w:p w14:paraId="2C66650E" w14:textId="77777777" w:rsidR="005D314E" w:rsidRPr="00576C3D" w:rsidRDefault="005D314E" w:rsidP="00576C3D">
      <w:pPr>
        <w:pStyle w:val="friliste"/>
      </w:pPr>
      <w:r w:rsidRPr="00576C3D">
        <w:t>5)</w:t>
      </w:r>
      <w:r w:rsidRPr="00576C3D">
        <w:tab/>
        <w:t xml:space="preserve">Fastsettelsen av den samlede massebaserte terskelverdien som gjenspeiler den gjennomsnittlige utslippsintensiteten for mengden importerte varer, har som mål å sikre at minst 99 % av utslippene som er innbakt i importerte varer, forblir innenfor virkeområdet for CBAM, og at </w:t>
      </w:r>
      <w:r w:rsidRPr="00576C3D">
        <w:rPr>
          <w:rStyle w:val="kursiv"/>
        </w:rPr>
        <w:t xml:space="preserve">de </w:t>
      </w:r>
      <w:proofErr w:type="spellStart"/>
      <w:r w:rsidRPr="00576C3D">
        <w:rPr>
          <w:rStyle w:val="kursiv"/>
        </w:rPr>
        <w:t>minimis</w:t>
      </w:r>
      <w:proofErr w:type="spellEnd"/>
      <w:r w:rsidRPr="00576C3D">
        <w:t xml:space="preserve">-unntaket derfor får </w:t>
      </w:r>
      <w:proofErr w:type="gramStart"/>
      <w:r w:rsidRPr="00576C3D">
        <w:t>anvendelse</w:t>
      </w:r>
      <w:proofErr w:type="gramEnd"/>
      <w:r w:rsidRPr="00576C3D">
        <w:t xml:space="preserve"> på høyst 1 % av utslippene som er innbakt i importerte varer. </w:t>
      </w:r>
      <w:r w:rsidRPr="00576C3D">
        <w:rPr>
          <w:rStyle w:val="kursiv"/>
        </w:rPr>
        <w:t xml:space="preserve">De </w:t>
      </w:r>
      <w:proofErr w:type="spellStart"/>
      <w:r w:rsidRPr="00576C3D">
        <w:rPr>
          <w:rStyle w:val="kursiv"/>
        </w:rPr>
        <w:t>minimis</w:t>
      </w:r>
      <w:proofErr w:type="spellEnd"/>
      <w:r w:rsidRPr="00576C3D">
        <w:t>-unntaket vil utgjøre en </w:t>
      </w:r>
      <w:proofErr w:type="gramStart"/>
      <w:r w:rsidRPr="00576C3D">
        <w:t>robust</w:t>
      </w:r>
      <w:proofErr w:type="gramEnd"/>
      <w:r w:rsidRPr="00576C3D">
        <w:t xml:space="preserve"> og målrettet tilnærming, ettersom det nøyaktig gjenspeiler </w:t>
      </w:r>
      <w:proofErr w:type="spellStart"/>
      <w:r w:rsidRPr="00576C3D">
        <w:t>CBAMs</w:t>
      </w:r>
      <w:proofErr w:type="spellEnd"/>
      <w:r w:rsidRPr="00576C3D">
        <w:t xml:space="preserve"> miljømessige natur og klimamål, samtidig som det i vesentlig grad reduserer den CBAM-relaterte administrative byrden for importører, der de aller fleste vil bli unntatt fra forpliktelsene i henhold til forordning (EU) 2023/956. Samtidig fortsetter CBAM å gjelde for minst 99 % av utslippene som er innbakt i de importerte varene. En slik samlet massebasert terskelverdi eliminerer også risikoen for at en enkelt importør forsøker å omgå reglene gjennom kunstig oppdeling av forsendelser.</w:t>
      </w:r>
    </w:p>
    <w:p w14:paraId="6F3F8E1E" w14:textId="77777777" w:rsidR="005D314E" w:rsidRPr="00576C3D" w:rsidRDefault="005D314E" w:rsidP="00576C3D">
      <w:pPr>
        <w:pStyle w:val="friliste"/>
      </w:pPr>
      <w:r w:rsidRPr="00576C3D">
        <w:t>6)</w:t>
      </w:r>
      <w:r w:rsidRPr="00576C3D">
        <w:tab/>
        <w:t>Kommisjonen bør hvert år på grunnlag av importdata for de foregående 12 kalendermånedene vurdere om det har skjedd en vesentlig endring i varenes gjennomsnittlige utslippsintensiteter eller i mønsteret for varehandelen, herunder metoder for omgåelse. For å sikre at minst 99 % av utslippene som er innbakt i de importerte varene, forblir innenfor virkeområdet for CBAM, bør Kommisjonen vedta delegerte rettsakter for å endre den samlede massebaserte terskelverdien ved å bruke metoden fastsatt i nr. 2 i vedlegg VII til forordning (EU) 2023/956. For å sikre effektivitet og sikkerhet bør Kommisjonen bare vedta slike rettsakter dersom verdien av den resulterende terskelverdien avviker fra den gjeldende terskelverdien med mer enn 15 tonn. Dersom den samlede massebaserte terskelverdien endres, bør den gjelde fra begynnelsen av det følgende kalenderåret.</w:t>
      </w:r>
    </w:p>
    <w:p w14:paraId="743C1267" w14:textId="77777777" w:rsidR="005D314E" w:rsidRPr="00576C3D" w:rsidRDefault="005D314E" w:rsidP="00576C3D">
      <w:pPr>
        <w:pStyle w:val="friliste"/>
      </w:pPr>
      <w:r w:rsidRPr="00576C3D">
        <w:t>7)</w:t>
      </w:r>
      <w:r w:rsidRPr="00576C3D">
        <w:tab/>
        <w:t>For å sikre at unntaket er tilstrekkelig målrettet, bør den samlede massebaserte terskelverdien gjelde for hver importør, herunder de importørene som har status som autoriserte CBAM-</w:t>
      </w:r>
      <w:proofErr w:type="spellStart"/>
      <w:r w:rsidRPr="00576C3D">
        <w:t>deklaranter</w:t>
      </w:r>
      <w:proofErr w:type="spellEnd"/>
      <w:r w:rsidRPr="00576C3D">
        <w:t>. For dette formål bør det tas hensyn til en importørs import, uansett om den er deklarert av importøren selv eller av en indirekte tollrepresentant. Den indirekte tollrepresentanten bør på grunn av arten av sin virksomhet og de tilknyttede forpliktelsene i henhold til forordning (EU) 2023/956 alltid være pålagt å oppnå status som autorisert CBAM-</w:t>
      </w:r>
      <w:proofErr w:type="spellStart"/>
      <w:r w:rsidRPr="00576C3D">
        <w:t>deklarant</w:t>
      </w:r>
      <w:proofErr w:type="spellEnd"/>
      <w:r w:rsidRPr="00576C3D">
        <w:t xml:space="preserve"> før vedkommende handler på vegne av en importør med hensyn til varer oppført i vedlegg I til forordning (EU) 2023/956. Dersom en importør som er representert ved én eller flere indirekte tollrepresentanter, har overskredet den samlede massebaserte terskelverdien, bør hver indirekte tollrepresentant som opptrer som autorisert CBAM-</w:t>
      </w:r>
      <w:proofErr w:type="spellStart"/>
      <w:r w:rsidRPr="00576C3D">
        <w:t>deklarant</w:t>
      </w:r>
      <w:proofErr w:type="spellEnd"/>
      <w:r w:rsidRPr="00576C3D">
        <w:t>, sende inn en CBAM-erklæring for varene som er importert til Unionens tollområde av denne indirekte tollrepresentanten, herunder eventuelle varer under den samlede massebaserte terskelverdien, for de representerte importørene som har overskredet den samlede massebaserte terskelverdien, og bør innlevere antallet CBAM-sertifikater som tilsvarer utslippene som er innbakt i disse varene.</w:t>
      </w:r>
    </w:p>
    <w:p w14:paraId="3F9ADCD9" w14:textId="77777777" w:rsidR="005D314E" w:rsidRPr="00576C3D" w:rsidRDefault="005D314E" w:rsidP="00576C3D">
      <w:pPr>
        <w:pStyle w:val="friliste"/>
      </w:pPr>
      <w:r w:rsidRPr="00576C3D">
        <w:t>8)</w:t>
      </w:r>
      <w:r w:rsidRPr="00576C3D">
        <w:tab/>
        <w:t>Av hensyn til rettslig forutsigbarhet bør det uttrykkelig fastsettes at dersom en indirekte tollrepresentant opptrer som en autorisert CBAM-</w:t>
      </w:r>
      <w:proofErr w:type="spellStart"/>
      <w:r w:rsidRPr="00576C3D">
        <w:t>deklarant</w:t>
      </w:r>
      <w:proofErr w:type="spellEnd"/>
      <w:r w:rsidRPr="00576C3D">
        <w:t xml:space="preserve"> på vegne av en importør, bør den indirekte tollrepresentanten være underlagt de forpliktelsene som gjelder for denne importøren i henhold til forordning (EU) 2023/956, særlig plikten til å sende inn en CBAM-erklæring for varer som er importert av den indirekte tollrepresentanten på vegne av denne importøren, og til å innlevere CBAM-sertifikatene for utslipp som er innbakt i disse varene. Som følge av dette bør det ved manglende overholdelse være den indirekte tollrepresentanten som blir ilagt overtredelsesgebyr i henhold til forordning (EU) 2023/956. Den indirekte tollrepresentanten bør imidlertid ikke ilegges overtredelsesgebyr dersom en indirekte tollrepresentant som handler på vegne av en importør etablert i en medlemsstat, ikke har samtykket i å fungere som autorisert CBAM-</w:t>
      </w:r>
      <w:proofErr w:type="spellStart"/>
      <w:r w:rsidRPr="00576C3D">
        <w:t>deklarant</w:t>
      </w:r>
      <w:proofErr w:type="spellEnd"/>
      <w:r w:rsidRPr="00576C3D">
        <w:t>.</w:t>
      </w:r>
    </w:p>
    <w:p w14:paraId="33174C2C" w14:textId="77777777" w:rsidR="005D314E" w:rsidRPr="00576C3D" w:rsidRDefault="005D314E" w:rsidP="00576C3D">
      <w:pPr>
        <w:pStyle w:val="friliste"/>
      </w:pPr>
      <w:r w:rsidRPr="00576C3D">
        <w:t>9)</w:t>
      </w:r>
      <w:r w:rsidRPr="00576C3D">
        <w:tab/>
        <w:t>På grunnlag av tollopplysninger bør Kommisjonen overvåke mengden importerte varer for å vurdere overholdelsen av den samlede massebaserte terskelverdien. Vedkommende myndigheter bør også kunne gjennomføre en slik overvåkning. For at vedkommende myndigheter skal kunne treffe en informert beslutning, er det nødvendig å fastsette egnede ordninger for å gjøre nødvendige opplysninger og data tilgjengelige for vedkommende myndigheter. Hver vedkommende myndighet bør kunne anmode om nødvendige opplysninger og bevis fra tollmyndighetene, herunder navn på, adresse til og kontaktopplysninger til importører, dersom vedkommende myndighet ikke på annen måte har tilgang til slike opplysninger. Dersom tollmyndighetene blir oppmerksomme på at en importør har overskredet den samlede massebaserte terskelverdien, herunder på grunnlag av opplysninger fra vedkommende myndighet, bør de ikke tillate ytterligere import av varer fra denne importøren før ved utgangen av det relevante kalenderåret, eller før denne importøren har fått status som autorisert CBAM-</w:t>
      </w:r>
      <w:proofErr w:type="spellStart"/>
      <w:r w:rsidRPr="00576C3D">
        <w:t>deklarant</w:t>
      </w:r>
      <w:proofErr w:type="spellEnd"/>
      <w:r w:rsidRPr="00576C3D">
        <w:t>.</w:t>
      </w:r>
    </w:p>
    <w:p w14:paraId="1FD1F792" w14:textId="77777777" w:rsidR="005D314E" w:rsidRPr="00576C3D" w:rsidRDefault="005D314E" w:rsidP="00576C3D">
      <w:pPr>
        <w:pStyle w:val="friliste"/>
      </w:pPr>
      <w:r w:rsidRPr="00576C3D">
        <w:t>10)</w:t>
      </w:r>
      <w:r w:rsidRPr="00576C3D">
        <w:tab/>
        <w:t>En importør som forventer å overskride den årlige samlede massebaserte terskelverdien, bør søke om tillatelse. En slik importør bør oppnå status som autorisert CBAM-</w:t>
      </w:r>
      <w:proofErr w:type="spellStart"/>
      <w:r w:rsidRPr="00576C3D">
        <w:t>deklarant</w:t>
      </w:r>
      <w:proofErr w:type="spellEnd"/>
      <w:r w:rsidRPr="00576C3D">
        <w:t xml:space="preserve"> før den samlede massebaserte terskelverdien </w:t>
      </w:r>
      <w:proofErr w:type="spellStart"/>
      <w:r w:rsidRPr="00576C3D">
        <w:t>overskrides</w:t>
      </w:r>
      <w:proofErr w:type="spellEnd"/>
      <w:r w:rsidRPr="00576C3D">
        <w:t>. Importører som ikke har fått tillatelse før de har overskredet den samlede massebaserte terskelverdien, bør ilegges overtredelsesgebyr.</w:t>
      </w:r>
    </w:p>
    <w:p w14:paraId="55136FBC" w14:textId="77777777" w:rsidR="005D314E" w:rsidRPr="00576C3D" w:rsidRDefault="005D314E" w:rsidP="00576C3D">
      <w:pPr>
        <w:pStyle w:val="friliste"/>
      </w:pPr>
      <w:r w:rsidRPr="00576C3D">
        <w:t>11)</w:t>
      </w:r>
      <w:r w:rsidRPr="00576C3D">
        <w:tab/>
        <w:t>Plikten til å oppnå status som autorisert CBAM-</w:t>
      </w:r>
      <w:proofErr w:type="spellStart"/>
      <w:r w:rsidRPr="00576C3D">
        <w:t>deklarant</w:t>
      </w:r>
      <w:proofErr w:type="spellEnd"/>
      <w:r w:rsidRPr="00576C3D">
        <w:t xml:space="preserve"> før den samlede massebaserte terskelverdien </w:t>
      </w:r>
      <w:proofErr w:type="spellStart"/>
      <w:r w:rsidRPr="00576C3D">
        <w:t>overskrides</w:t>
      </w:r>
      <w:proofErr w:type="spellEnd"/>
      <w:r w:rsidRPr="00576C3D">
        <w:t xml:space="preserve">, kan føre til at et stort antall søknader blir innlevert i begynnelsen av 2026. For å forenkle </w:t>
      </w:r>
      <w:proofErr w:type="gramStart"/>
      <w:r w:rsidRPr="00576C3D">
        <w:t>anvendelsen</w:t>
      </w:r>
      <w:proofErr w:type="gramEnd"/>
      <w:r w:rsidRPr="00576C3D">
        <w:t xml:space="preserve"> av forordning (EU) 2023/956 etter utløpet av overgangsbestemmelsene og unngå </w:t>
      </w:r>
      <w:proofErr w:type="gramStart"/>
      <w:r w:rsidRPr="00576C3D">
        <w:t>potensielle</w:t>
      </w:r>
      <w:proofErr w:type="gramEnd"/>
      <w:r w:rsidRPr="00576C3D">
        <w:t xml:space="preserve"> importforstyrrelser, bør det være tillatt for importører og indirekte tollrepresentanter som har inngitt en søknad om tillatelse innen 31. mars 2026 å fortsette å importere varene i 2026 selv etter å ha overskredet den samlede massebaserte terskelverdien, i påvente av vedtak om tillatelse. For å unngå omgåelse av forordning (EU) 2023/956 bør importører og indirekte tollrepresentanter som nektes tillatelse, ilegges overtredelsesgebyr i samsvar med artikkel 26 nr. 2a i den nevnte forordningen.</w:t>
      </w:r>
    </w:p>
    <w:p w14:paraId="65B25503" w14:textId="77777777" w:rsidR="005D314E" w:rsidRPr="00576C3D" w:rsidRDefault="005D314E" w:rsidP="00576C3D">
      <w:pPr>
        <w:pStyle w:val="friliste"/>
      </w:pPr>
      <w:r w:rsidRPr="00576C3D">
        <w:t>12)</w:t>
      </w:r>
      <w:r w:rsidRPr="00576C3D">
        <w:tab/>
        <w:t>For å sikre at definisjonen av en importør omfatter alle relevante tollprosedyrer, er det nødvendig å endre den slik at den omfatter tilfellet med den forenklede tollprosedyren der det bare framlegges et oppgjørsdokument i henhold til artikkel 175 nr. 5 i delegert kommisjonsforordning (EU) 2015/2446</w:t>
      </w:r>
      <w:r w:rsidRPr="00576C3D">
        <w:rPr>
          <w:rStyle w:val="Fotnotereferanse"/>
        </w:rPr>
        <w:footnoteReference w:id="33"/>
      </w:r>
      <w:r w:rsidRPr="00576C3D">
        <w:t>.</w:t>
      </w:r>
    </w:p>
    <w:p w14:paraId="05744C81" w14:textId="77777777" w:rsidR="005D314E" w:rsidRPr="00576C3D" w:rsidRDefault="005D314E" w:rsidP="00576C3D">
      <w:pPr>
        <w:pStyle w:val="friliste"/>
      </w:pPr>
      <w:r w:rsidRPr="00576C3D">
        <w:t>13)</w:t>
      </w:r>
      <w:r w:rsidRPr="00576C3D">
        <w:tab/>
        <w:t>For å oppnå en balanse mellom effektive godkjenningsprosedyrer og søkernes risikoprofil bør høringsprosedyren være frivillig for vedkommende myndighet. Høringsprosedyren bør gjøre det mulig for vedkommende myndighet å rådføre seg med andre vedkommende myndigheter og Kommisjonen dersom det anses nødvendig på grunnlag av opplysningene som er framlagt av søkeren, og tollopplysninger som er gjort tilgjengelige i CBAM-registeret.</w:t>
      </w:r>
    </w:p>
    <w:p w14:paraId="59A7A05E" w14:textId="77777777" w:rsidR="005D314E" w:rsidRPr="00576C3D" w:rsidRDefault="005D314E" w:rsidP="00576C3D">
      <w:pPr>
        <w:pStyle w:val="friliste"/>
      </w:pPr>
      <w:r w:rsidRPr="00576C3D">
        <w:t>14)</w:t>
      </w:r>
      <w:r w:rsidRPr="00576C3D">
        <w:tab/>
        <w:t>For å gi ytterligere fleksibilitet bør den autoriserte CBAM-</w:t>
      </w:r>
      <w:proofErr w:type="spellStart"/>
      <w:r w:rsidRPr="00576C3D">
        <w:t>deklaranten</w:t>
      </w:r>
      <w:proofErr w:type="spellEnd"/>
      <w:r w:rsidRPr="00576C3D">
        <w:t xml:space="preserve"> kunne delegere innsendingen av CBAM-erklæringen til en tredjepart. Den autoriserte CBAM-</w:t>
      </w:r>
      <w:proofErr w:type="spellStart"/>
      <w:r w:rsidRPr="00576C3D">
        <w:t>deklaranten</w:t>
      </w:r>
      <w:proofErr w:type="spellEnd"/>
      <w:r w:rsidRPr="00576C3D">
        <w:t xml:space="preserve"> bør fortsatt stå ansvarlig for innsendingen av CBAM-erklæringen. For å gjøre det mulig for den autoriserte CBAM-</w:t>
      </w:r>
      <w:proofErr w:type="spellStart"/>
      <w:r w:rsidRPr="00576C3D">
        <w:t>deklaranten</w:t>
      </w:r>
      <w:proofErr w:type="spellEnd"/>
      <w:r w:rsidRPr="00576C3D">
        <w:t xml:space="preserve"> å foreta den nødvendige delegeringen og gi tilgang til en tredjepart, bør denne tredjeparten oppfylle visse tekniske krav, herunder inneha et EORI-nummer (</w:t>
      </w:r>
      <w:proofErr w:type="spellStart"/>
      <w:r w:rsidRPr="00576C3D">
        <w:t>Economic</w:t>
      </w:r>
      <w:proofErr w:type="spellEnd"/>
      <w:r w:rsidRPr="00576C3D">
        <w:t xml:space="preserve"> Operators </w:t>
      </w:r>
      <w:proofErr w:type="spellStart"/>
      <w:r w:rsidRPr="00576C3D">
        <w:t>Registration</w:t>
      </w:r>
      <w:proofErr w:type="spellEnd"/>
      <w:r w:rsidRPr="00576C3D">
        <w:t xml:space="preserve"> and </w:t>
      </w:r>
      <w:proofErr w:type="spellStart"/>
      <w:r w:rsidRPr="00576C3D">
        <w:t>Identification</w:t>
      </w:r>
      <w:proofErr w:type="spellEnd"/>
      <w:r w:rsidRPr="00576C3D">
        <w:t>) og være etablert i en medlemsstat.</w:t>
      </w:r>
    </w:p>
    <w:p w14:paraId="0EC01623" w14:textId="77777777" w:rsidR="005D314E" w:rsidRPr="00576C3D" w:rsidRDefault="005D314E" w:rsidP="00576C3D">
      <w:pPr>
        <w:pStyle w:val="friliste"/>
      </w:pPr>
      <w:r w:rsidRPr="00576C3D">
        <w:t>15)</w:t>
      </w:r>
      <w:r w:rsidRPr="00576C3D">
        <w:tab/>
        <w:t>Godkjente CBAM-</w:t>
      </w:r>
      <w:proofErr w:type="spellStart"/>
      <w:r w:rsidRPr="00576C3D">
        <w:t>deklaranter</w:t>
      </w:r>
      <w:proofErr w:type="spellEnd"/>
      <w:r w:rsidRPr="00576C3D">
        <w:t xml:space="preserve"> bør sende inn sin årlige CBAM-erklæring og innlevere det tilsvarende antall sertifikater innen 30. september i året etter importåret for varene. For å gi autoriserte CBAM-</w:t>
      </w:r>
      <w:proofErr w:type="spellStart"/>
      <w:r w:rsidRPr="00576C3D">
        <w:t>deklaranter</w:t>
      </w:r>
      <w:proofErr w:type="spellEnd"/>
      <w:r w:rsidRPr="00576C3D">
        <w:t xml:space="preserve"> fleksibilitet til å oppfylle sine forpliktelser, vil en senere innsendingsdato gi autoriserte CBAM-</w:t>
      </w:r>
      <w:proofErr w:type="spellStart"/>
      <w:r w:rsidRPr="00576C3D">
        <w:t>deklaranter</w:t>
      </w:r>
      <w:proofErr w:type="spellEnd"/>
      <w:r w:rsidRPr="00576C3D">
        <w:t xml:space="preserve"> mer tid til å samle inn nødvendig informasjon, sikre at innebygde utslipp verifiseres av en akkreditert </w:t>
      </w:r>
      <w:proofErr w:type="spellStart"/>
      <w:r w:rsidRPr="00576C3D">
        <w:t>verifikatør</w:t>
      </w:r>
      <w:proofErr w:type="spellEnd"/>
      <w:r w:rsidRPr="00576C3D">
        <w:t xml:space="preserve"> og kjøpe tilsvarende antall CBAM-sertifikater. Datoen for sletting av CBAM-sertifikater bør justeres tilsvarende.</w:t>
      </w:r>
    </w:p>
    <w:p w14:paraId="7A1DE3F9" w14:textId="77777777" w:rsidR="005D314E" w:rsidRPr="00576C3D" w:rsidRDefault="005D314E" w:rsidP="00576C3D">
      <w:pPr>
        <w:pStyle w:val="friliste"/>
      </w:pPr>
      <w:r w:rsidRPr="00576C3D">
        <w:t>16)</w:t>
      </w:r>
      <w:r w:rsidRPr="00576C3D">
        <w:tab/>
        <w:t xml:space="preserve">De innbakte utslippene fra enkelte aluminiums- og </w:t>
      </w:r>
      <w:proofErr w:type="spellStart"/>
      <w:r w:rsidRPr="00576C3D">
        <w:t>stålvarer</w:t>
      </w:r>
      <w:proofErr w:type="spellEnd"/>
      <w:r w:rsidRPr="00576C3D">
        <w:t xml:space="preserve"> som for tiden omfattes av virkeområdet for forordning (EU) 2023/956, bestemmes hovedsakelig av de innbakte utslippene av innsatsmaterialer (forløpere), mens utslippene som oppstår under produksjonstrinnene for disse varene, vanligvis er relativt lave. Disse produksjonstrinnene består av sluttbehandlingsprosesser som utføres av separate anlegg som ikke omfattes av EUs ordning for handel med utslippskvoter («EU ETS») som fastsatt i europaparlaments- og rådsdirektiv 2003/87/EF</w:t>
      </w:r>
      <w:r w:rsidRPr="00576C3D">
        <w:rPr>
          <w:rStyle w:val="Fotnotereferanse"/>
        </w:rPr>
        <w:footnoteReference w:id="34"/>
      </w:r>
      <w:r w:rsidRPr="00576C3D">
        <w:t xml:space="preserve">, med unntak av integrerte anlegg. For å sikre sammenheng med EU ETS-reglene og for å forenkle </w:t>
      </w:r>
      <w:proofErr w:type="gramStart"/>
      <w:r w:rsidRPr="00576C3D">
        <w:t>anvendelsen</w:t>
      </w:r>
      <w:proofErr w:type="gramEnd"/>
      <w:r w:rsidRPr="00576C3D">
        <w:t xml:space="preserve"> av CBAM-reglene for operatører i tredjeland bør de innebygde utslippene fra disse produksjonsprosessene utelukkes fra systemgrensene for beregning av utslipp gjennom å tilpasse systemgrensene for produksjonsprosesser til dem som omfattes av EU ETS.</w:t>
      </w:r>
    </w:p>
    <w:p w14:paraId="67BFCE8D" w14:textId="77777777" w:rsidR="005D314E" w:rsidRPr="00576C3D" w:rsidRDefault="005D314E" w:rsidP="00576C3D">
      <w:pPr>
        <w:pStyle w:val="friliste"/>
      </w:pPr>
      <w:r w:rsidRPr="00576C3D">
        <w:t>17)</w:t>
      </w:r>
      <w:r w:rsidRPr="00576C3D">
        <w:tab/>
        <w:t>Elektrisitet som produseres på kontinentalsokkelen eller i den eksklusive økonomiske sonen til en medlemsstat eller et tredjeland, anses å stamme fra henholdsvis denne medlemsstaten eller dette tredjelandet. Hydrogen med opprinnelse på kontinentalsokkelen eller i den eksklusive økonomiske sonen til en medlemsstat eller et tredjeland, anses å stamme fra henholdsvis denne medlemsstaten eller dette tredjelandet.</w:t>
      </w:r>
    </w:p>
    <w:p w14:paraId="4463E43E" w14:textId="77777777" w:rsidR="005D314E" w:rsidRPr="00576C3D" w:rsidRDefault="005D314E" w:rsidP="00576C3D">
      <w:pPr>
        <w:pStyle w:val="friliste"/>
      </w:pPr>
      <w:r w:rsidRPr="00576C3D">
        <w:t>18)</w:t>
      </w:r>
      <w:r w:rsidRPr="00576C3D">
        <w:tab/>
        <w:t>Når innsatsmaterialer (forløpere) allerede har vært omfattet av EU ETS eller av et karbonprisingssystem som er fullt ut knyttet til EU ETS, bør de innbakte utslippene fra disse forløperne ikke tas med i beregningen av de innbakte utslippene fra sammensatte varer.</w:t>
      </w:r>
    </w:p>
    <w:p w14:paraId="47380360" w14:textId="77777777" w:rsidR="005D314E" w:rsidRPr="00576C3D" w:rsidRDefault="005D314E" w:rsidP="00576C3D">
      <w:pPr>
        <w:pStyle w:val="friliste"/>
      </w:pPr>
      <w:r w:rsidRPr="00576C3D">
        <w:t>19)</w:t>
      </w:r>
      <w:r w:rsidRPr="00576C3D">
        <w:tab/>
        <w:t>Autoriserte CBAM-</w:t>
      </w:r>
      <w:proofErr w:type="spellStart"/>
      <w:r w:rsidRPr="00576C3D">
        <w:t>deklaranter</w:t>
      </w:r>
      <w:proofErr w:type="spellEnd"/>
      <w:r w:rsidRPr="00576C3D">
        <w:t xml:space="preserve"> er pålagt å sende inn en årlig CBAM-erklæring som inneholder beregningen av innebygde utslipp på grunnlag av enten standardverdier eller faktiske verdier verifisert av akkrediterte </w:t>
      </w:r>
      <w:proofErr w:type="spellStart"/>
      <w:r w:rsidRPr="00576C3D">
        <w:t>verifikatører</w:t>
      </w:r>
      <w:proofErr w:type="spellEnd"/>
      <w:r w:rsidRPr="00576C3D">
        <w:t>. Kommisjonen bør beregne standardverdiene og gjøre dem tilgjengelige. Verifiseringen av innbakte utslipp bør derfor bare gjelde for faktiske verdier.</w:t>
      </w:r>
    </w:p>
    <w:p w14:paraId="4AE66672" w14:textId="77777777" w:rsidR="005D314E" w:rsidRPr="00576C3D" w:rsidRDefault="005D314E" w:rsidP="00576C3D">
      <w:pPr>
        <w:pStyle w:val="friliste"/>
      </w:pPr>
      <w:r w:rsidRPr="00576C3D">
        <w:t>20)</w:t>
      </w:r>
      <w:r w:rsidRPr="00576C3D">
        <w:tab/>
        <w:t xml:space="preserve">Informasjon som er innhentet i overgangsperioden, indikerer at rapporterende </w:t>
      </w:r>
      <w:proofErr w:type="spellStart"/>
      <w:r w:rsidRPr="00576C3D">
        <w:t>deklaranter</w:t>
      </w:r>
      <w:proofErr w:type="spellEnd"/>
      <w:r w:rsidRPr="00576C3D">
        <w:t xml:space="preserve"> har vansker med å innhente de nødvendige opplysningene om karbonprisen som faktisk er betalt i et tredjeland. For å gjøre det enklere å trekke fra karbonprisen bør Kommisjonen, når det er mulig, fastsette en årlig gjennomsnittlig karbonpris uttrykt i euro/tonn CO2-ekvivalenter av den faktiske karbonprisen som er betalt, herunder på et konservativt grunnlag, basert på de beste tilgjengelige dataene fra pålitelige, offentlig tilgjengelige opplysninger og opplysninger fra tredjeland til Kommisjonen.</w:t>
      </w:r>
    </w:p>
    <w:p w14:paraId="03F504D3" w14:textId="77777777" w:rsidR="005D314E" w:rsidRPr="00576C3D" w:rsidRDefault="005D314E" w:rsidP="00576C3D">
      <w:pPr>
        <w:pStyle w:val="friliste"/>
      </w:pPr>
      <w:r w:rsidRPr="00576C3D">
        <w:t>21)</w:t>
      </w:r>
      <w:r w:rsidRPr="00576C3D">
        <w:tab/>
        <w:t>Bevisene som kreves for å trekke fra en karbonpris som faktisk er betalt, er basert på informasjon som er relevant for fastsettelse og verifisering av faktiske innebygde utslipp. Dersom de innbakte utslippene er deklarert på grunnlag av standardverdier, bør det bare være mulig å kreve fradrag for karbonprisen med henvisning til årlige standardkarbonpriser, der dette er tilgjengelig. Siden de innbakte utslippene fra forløpere ikke bør tas med i beregningen når de allerede har vært omfattet av EU ETS eller av et karbonprisingssystem som er fullt ut knyttet til EU ETS, er dessuten karbonprisen knyttet til disse innbakte utslippene ikke relevant for fradraget.</w:t>
      </w:r>
    </w:p>
    <w:p w14:paraId="69C6CB39" w14:textId="77777777" w:rsidR="005D314E" w:rsidRPr="00576C3D" w:rsidRDefault="005D314E" w:rsidP="00576C3D">
      <w:pPr>
        <w:pStyle w:val="friliste"/>
      </w:pPr>
      <w:r w:rsidRPr="00576C3D">
        <w:t>22)</w:t>
      </w:r>
      <w:r w:rsidRPr="00576C3D">
        <w:tab/>
        <w:t>Autoriserte CBAM-</w:t>
      </w:r>
      <w:proofErr w:type="spellStart"/>
      <w:r w:rsidRPr="00576C3D">
        <w:t>deklaranter</w:t>
      </w:r>
      <w:proofErr w:type="spellEnd"/>
      <w:r w:rsidRPr="00576C3D">
        <w:t xml:space="preserve"> kan kreve en reduksjon i antall CBAM-sertifikater som skal innleveres, tilsvarende den karbonprisen som faktisk er betalt i opprinnelseslandet for de innbakte utslippene som er deklarert. Siden karbonprisen kan betales i et annet tredjeland enn opprinnelseslandet for de importerte varene, bør en slik karbonpris også kunne trekkes fra.</w:t>
      </w:r>
    </w:p>
    <w:p w14:paraId="0A6F28DF" w14:textId="77777777" w:rsidR="005D314E" w:rsidRPr="00576C3D" w:rsidRDefault="005D314E" w:rsidP="00576C3D">
      <w:pPr>
        <w:pStyle w:val="friliste"/>
      </w:pPr>
      <w:r w:rsidRPr="00576C3D">
        <w:t>23)</w:t>
      </w:r>
      <w:r w:rsidRPr="00576C3D">
        <w:tab/>
        <w:t xml:space="preserve">For å forbedre påliteligheten av dataene om innbakte utslipp i CBAM-registeret og for å lette innsendingen av data bør akkrediterte </w:t>
      </w:r>
      <w:proofErr w:type="spellStart"/>
      <w:r w:rsidRPr="00576C3D">
        <w:t>verifikatører</w:t>
      </w:r>
      <w:proofErr w:type="spellEnd"/>
      <w:r w:rsidRPr="00576C3D">
        <w:t xml:space="preserve"> på anmodning fra operatører i tredjeland få tilgang til CBAM-registeret for å kontrollere de innbakte utslippene. I tillegg bør morselskaper eller kontrollerende enheter for disse operatørene gis tilgang til CBAM-registeret for å registrere og dele relevante data på vegne av disse operatørene. Operatørene bør pålegges å oppgi et organisasjons- eller aktivitetsregistreringsnummer for å sikre identifikasjon.</w:t>
      </w:r>
    </w:p>
    <w:p w14:paraId="657F9A59" w14:textId="77777777" w:rsidR="005D314E" w:rsidRPr="00576C3D" w:rsidRDefault="005D314E" w:rsidP="00576C3D">
      <w:pPr>
        <w:pStyle w:val="friliste"/>
      </w:pPr>
      <w:r w:rsidRPr="00576C3D">
        <w:t>24)</w:t>
      </w:r>
      <w:r w:rsidRPr="00576C3D">
        <w:tab/>
        <w:t>For å sikre samsvar med europaparlaments- og rådsforordning (EF) nr. 765/2008</w:t>
      </w:r>
      <w:r w:rsidRPr="00576C3D">
        <w:rPr>
          <w:rStyle w:val="Fotnotereferanse"/>
        </w:rPr>
        <w:footnoteReference w:id="35"/>
      </w:r>
      <w:r w:rsidRPr="00576C3D">
        <w:t xml:space="preserve"> og Kommisjonens gjennomføringsforordning (EU) 2018/2067</w:t>
      </w:r>
      <w:r w:rsidRPr="00576C3D">
        <w:rPr>
          <w:rStyle w:val="Fotnotereferanse"/>
        </w:rPr>
        <w:footnoteReference w:id="36"/>
      </w:r>
      <w:r w:rsidRPr="00576C3D">
        <w:t xml:space="preserve"> bør en </w:t>
      </w:r>
      <w:proofErr w:type="spellStart"/>
      <w:r w:rsidRPr="00576C3D">
        <w:t>verifikatør</w:t>
      </w:r>
      <w:proofErr w:type="spellEnd"/>
      <w:r w:rsidRPr="00576C3D">
        <w:t xml:space="preserve"> være en juridisk person som er akkreditert i henhold til forordning (EU) 2023/956 ved en beslutning truffet av et nasjonalt akkrediteringsorgan. Når det nasjonale akkrediteringsorganet treffer denne beslutningen, bør det ta hensyn til de relevante aktivitetsgruppene i henhold til gjennomføringsforordning (EU) 2018/2067 ved vurderingen av den juridiske personens kvalifikasjoner.</w:t>
      </w:r>
    </w:p>
    <w:p w14:paraId="6B513008" w14:textId="77777777" w:rsidR="005D314E" w:rsidRPr="00576C3D" w:rsidRDefault="005D314E" w:rsidP="00576C3D">
      <w:pPr>
        <w:pStyle w:val="friliste"/>
      </w:pPr>
      <w:r w:rsidRPr="00576C3D">
        <w:t>25)</w:t>
      </w:r>
      <w:r w:rsidRPr="00576C3D">
        <w:tab/>
        <w:t>For å fremme gjennomføringen av forordning (EU) 2023/956 på nasjonalt plan bør medlemsstatene sikre at vedkommende myndigheter har alle nødvendige fullmakter til å utføre sine oppgaver og plikter.</w:t>
      </w:r>
    </w:p>
    <w:p w14:paraId="24AC8BBC" w14:textId="77777777" w:rsidR="005D314E" w:rsidRPr="00576C3D" w:rsidRDefault="005D314E" w:rsidP="00576C3D">
      <w:pPr>
        <w:pStyle w:val="friliste"/>
      </w:pPr>
      <w:r w:rsidRPr="00576C3D">
        <w:t>26)</w:t>
      </w:r>
      <w:r w:rsidRPr="00576C3D">
        <w:tab/>
        <w:t>Kostnader som påløper i forbindelse med opprettelse, drift og forvaltning av den felles sentrale plattformen, bør finansieres av gebyrer som skal betales av autoriserte CBAM-</w:t>
      </w:r>
      <w:proofErr w:type="spellStart"/>
      <w:r w:rsidRPr="00576C3D">
        <w:t>deklaranter</w:t>
      </w:r>
      <w:proofErr w:type="spellEnd"/>
      <w:r w:rsidRPr="00576C3D">
        <w:t>. Under varigheten av den første felles kontrakten om offentlige innkjøp for opprettelse, drift og forvaltning av den felles sentrale plattformen, bør disse kostnadene i utgangspunktet dekkes over Unionens alminnelige budsjett, og for dette formålet bør inntektene fra disse gebyrene overføres til Unionens budsjett for å dekke de relevante kostnadene. På bakgrunn av inntektenes art bør inntektene behandles som interne inntekter avsatt til bestemte formål. Eventuelle inntekter som gjenstår etter at disse kostnadene er dekket, bør overføres til unionsbudsjettet. Kommisjonen bør gis myndighet til å vedta delegerte rettsakter som fastsetter gebyrenes struktur og nivå, slik at organiseringen og bruken av den felles sentrale plattformen er kostnadseffektiv, at gebyrene fastsettes slik at de utelukkende dekker de relevante kostnadene, og at unødvendige administrative kostnader unngås. Kommisjonen bør også vedta delegerte rettsakter som fastsetter for varigheten av de påfølgende felles innkjøpskontraktene at gebyrene direkte bør finansiere kostnadene ved drift og forvaltning av plattformen.</w:t>
      </w:r>
    </w:p>
    <w:p w14:paraId="0A796346" w14:textId="77777777" w:rsidR="005D314E" w:rsidRPr="00576C3D" w:rsidRDefault="005D314E" w:rsidP="00576C3D">
      <w:pPr>
        <w:pStyle w:val="friliste"/>
      </w:pPr>
      <w:r w:rsidRPr="00576C3D">
        <w:t>27)</w:t>
      </w:r>
      <w:r w:rsidRPr="00576C3D">
        <w:tab/>
        <w:t>For å gi autoriserte CBAM-</w:t>
      </w:r>
      <w:proofErr w:type="spellStart"/>
      <w:r w:rsidRPr="00576C3D">
        <w:t>deklaranter</w:t>
      </w:r>
      <w:proofErr w:type="spellEnd"/>
      <w:r w:rsidRPr="00576C3D">
        <w:t xml:space="preserve"> tilstrekkelig tid til å forberede seg på å oppfylle de endrede forpliktelsene i henhold til forordning (EU) 2023/956, bør medlemsstatene begynne å selge CBAM-sertifikater i 2027 for utslipp innbakt i varer som er importert i løpet av 2026. Prisen på CBAM-sertifikater kjøpt i 2027 og tilsvarende utslipp som er innbakt i varer importert til Unionen i 2026, bør gjenspeile prisene på EU ETS-kvoter i 2026.</w:t>
      </w:r>
    </w:p>
    <w:p w14:paraId="6DE21BD7" w14:textId="77777777" w:rsidR="005D314E" w:rsidRPr="00576C3D" w:rsidRDefault="005D314E" w:rsidP="00576C3D">
      <w:pPr>
        <w:pStyle w:val="friliste"/>
      </w:pPr>
      <w:r w:rsidRPr="00576C3D">
        <w:t>28)</w:t>
      </w:r>
      <w:r w:rsidRPr="00576C3D">
        <w:tab/>
        <w:t>Plikten for de autoriserte CBAM-</w:t>
      </w:r>
      <w:proofErr w:type="spellStart"/>
      <w:r w:rsidRPr="00576C3D">
        <w:t>deklarantene</w:t>
      </w:r>
      <w:proofErr w:type="spellEnd"/>
      <w:r w:rsidRPr="00576C3D">
        <w:t xml:space="preserve"> til å sikre at antallet CBAM-sertifikater på deres konto i CBAM-registeret ved utgangen av hvert kvartal tilsvarer minst 80 % av utslippene innbakt i varene de har importert siden begynnelsen av året, er ikke godt nok tilpasset til den forventede økonomiske justeringen. Det er derfor nødvendig både å redusere prosentandelen fra 80 % til 50 % og å </w:t>
      </w:r>
      <w:proofErr w:type="gramStart"/>
      <w:r w:rsidRPr="00576C3D">
        <w:t>integrere</w:t>
      </w:r>
      <w:proofErr w:type="gramEnd"/>
      <w:r w:rsidRPr="00576C3D">
        <w:t xml:space="preserve"> den vederlagsfrie tildelingen av EU ETS-kvoter. Videre bør den autoriserte CBAM-</w:t>
      </w:r>
      <w:proofErr w:type="spellStart"/>
      <w:r w:rsidRPr="00576C3D">
        <w:t>deklaranten</w:t>
      </w:r>
      <w:proofErr w:type="spellEnd"/>
      <w:r w:rsidRPr="00576C3D">
        <w:t xml:space="preserve"> kunne feste lit til opplysningene i CBAM-erklæringen fra det foregående året for de samme varene og de samme tredjelandene.</w:t>
      </w:r>
    </w:p>
    <w:p w14:paraId="1652F5C7" w14:textId="77777777" w:rsidR="005D314E" w:rsidRPr="00576C3D" w:rsidRDefault="005D314E" w:rsidP="00576C3D">
      <w:pPr>
        <w:pStyle w:val="friliste"/>
      </w:pPr>
      <w:r w:rsidRPr="00576C3D">
        <w:t>29)</w:t>
      </w:r>
      <w:r w:rsidRPr="00576C3D">
        <w:tab/>
        <w:t>På tilsvarende måte bør tilbakekjøpsgrensen tilpasses mer nøyaktig til antallet CBAM-sertifikater som de autoriserte CBAM-</w:t>
      </w:r>
      <w:proofErr w:type="spellStart"/>
      <w:r w:rsidRPr="00576C3D">
        <w:t>deklarantene</w:t>
      </w:r>
      <w:proofErr w:type="spellEnd"/>
      <w:r w:rsidRPr="00576C3D">
        <w:t xml:space="preserve"> er pålagt å kjøpe i importåret.</w:t>
      </w:r>
    </w:p>
    <w:p w14:paraId="07AB91B6" w14:textId="77777777" w:rsidR="005D314E" w:rsidRPr="00576C3D" w:rsidRDefault="005D314E" w:rsidP="00576C3D">
      <w:pPr>
        <w:pStyle w:val="friliste"/>
      </w:pPr>
      <w:r w:rsidRPr="00576C3D">
        <w:t>30)</w:t>
      </w:r>
      <w:r w:rsidRPr="00576C3D">
        <w:tab/>
        <w:t>Siden CBAM-sertifikater slettes uten kompensasjon, er det ikke behov for utveksling av informasjon fra den felles sentrale plattformen til CBAM-registeret på slutten av arbeidsdagen.</w:t>
      </w:r>
    </w:p>
    <w:p w14:paraId="5C01B25B" w14:textId="77777777" w:rsidR="005D314E" w:rsidRPr="00576C3D" w:rsidRDefault="005D314E" w:rsidP="00576C3D">
      <w:pPr>
        <w:pStyle w:val="friliste"/>
      </w:pPr>
      <w:r w:rsidRPr="00576C3D">
        <w:t>31)</w:t>
      </w:r>
      <w:r w:rsidRPr="00576C3D">
        <w:tab/>
        <w:t>Dersom en autorisert CBAM-</w:t>
      </w:r>
      <w:proofErr w:type="spellStart"/>
      <w:r w:rsidRPr="00576C3D">
        <w:t>deklarant</w:t>
      </w:r>
      <w:proofErr w:type="spellEnd"/>
      <w:r w:rsidRPr="00576C3D">
        <w:t xml:space="preserve"> ikke innleverer det korrekte antallet CBAM-sertifikater som følge av feilaktige opplysninger fra en tredjepart, nærmere bestemt en operatør, en </w:t>
      </w:r>
      <w:proofErr w:type="spellStart"/>
      <w:r w:rsidRPr="00576C3D">
        <w:t>verifikatør</w:t>
      </w:r>
      <w:proofErr w:type="spellEnd"/>
      <w:r w:rsidRPr="00576C3D">
        <w:t xml:space="preserve"> eller en uavhengig person som sertifiserer dokumentasjonen for karbonprisen, bør vedkommende myndigheter, når de anvender overtredelsesgebyr, kunne ta hensyn til de aktuelle omstendighetene, for eksempel varigheten, alvorligheten, omfanget, den forsettlige eller uaktsomme karakteren eller gjentakelsen av den manglende overholdelsen samt graden av samarbeid fra den autoriserte CBAM-</w:t>
      </w:r>
      <w:proofErr w:type="spellStart"/>
      <w:r w:rsidRPr="00576C3D">
        <w:t>deklarantens</w:t>
      </w:r>
      <w:proofErr w:type="spellEnd"/>
      <w:r w:rsidRPr="00576C3D">
        <w:t xml:space="preserve"> side. Dette vil gjøre det mulig å redusere overtredelsesgebyrene ved mindre eller utilsiktede feil.</w:t>
      </w:r>
    </w:p>
    <w:p w14:paraId="48243296" w14:textId="77777777" w:rsidR="005D314E" w:rsidRPr="00576C3D" w:rsidRDefault="005D314E" w:rsidP="00576C3D">
      <w:pPr>
        <w:pStyle w:val="friliste"/>
      </w:pPr>
      <w:r w:rsidRPr="00576C3D">
        <w:t>32)</w:t>
      </w:r>
      <w:r w:rsidRPr="00576C3D">
        <w:tab/>
        <w:t>Andre importører enn autoriserte CBAM-</w:t>
      </w:r>
      <w:proofErr w:type="spellStart"/>
      <w:r w:rsidRPr="00576C3D">
        <w:t>deklaranter</w:t>
      </w:r>
      <w:proofErr w:type="spellEnd"/>
      <w:r w:rsidRPr="00576C3D">
        <w:t xml:space="preserve"> som har overskredet den samlede massebaserte terskelverdien, bør ilegges et overtredelsesgebyr fastsatt i artikkel 26 nr. 2a. For dette formålet bør det tas hensyn til alle utslippene innbakt i varene som er importert av en slik importør uten tillatelse i det relevante kalenderåret. Det bør fastsettes at betalingen av overtredelsesgebyret fritar importøren fra plikten til å sende inn en CBAM-erklæring og innlevere CBAM-sertifikater for denne importen. For å ta hensyn til at det dreier seg om en mindre eller utilsiktet overtredelse, bør vedkommende myndigheter kunne ilegge et lavere overtredelsesgebyr dersom den samlede massebaserte terskelverdien er overskredet med høyst 10 % av denne terskelverdien, eller dersom importøren midlertidig har fortsatt å importere varer og </w:t>
      </w:r>
      <w:proofErr w:type="spellStart"/>
      <w:r w:rsidRPr="00576C3D">
        <w:t>vedkommendes</w:t>
      </w:r>
      <w:proofErr w:type="spellEnd"/>
      <w:r w:rsidRPr="00576C3D">
        <w:t xml:space="preserve"> søknad om status som autorisert CBAM-</w:t>
      </w:r>
      <w:proofErr w:type="spellStart"/>
      <w:r w:rsidRPr="00576C3D">
        <w:t>deklarant</w:t>
      </w:r>
      <w:proofErr w:type="spellEnd"/>
      <w:r w:rsidRPr="00576C3D">
        <w:t xml:space="preserve"> er avslått.</w:t>
      </w:r>
    </w:p>
    <w:p w14:paraId="2FB5830E" w14:textId="77777777" w:rsidR="005D314E" w:rsidRPr="00576C3D" w:rsidRDefault="005D314E" w:rsidP="00576C3D">
      <w:pPr>
        <w:pStyle w:val="friliste"/>
      </w:pPr>
      <w:r w:rsidRPr="00576C3D">
        <w:t>33)</w:t>
      </w:r>
      <w:r w:rsidRPr="00576C3D">
        <w:tab/>
        <w:t xml:space="preserve">Forordning (EU) 2023/956 får </w:t>
      </w:r>
      <w:proofErr w:type="gramStart"/>
      <w:r w:rsidRPr="00576C3D">
        <w:t>anvendelse</w:t>
      </w:r>
      <w:proofErr w:type="gramEnd"/>
      <w:r w:rsidRPr="00576C3D">
        <w:t xml:space="preserve"> på visse karbonintensive varer som importeres til Unionen. Varene oppført i vedlegg I til forordning (EU) 2023/956 omfatter «annen kaolinholdig leire» på listen over sementvarer. Mens kalsinerte kaolinholdige leirer er karbonintensive produkter, er dette ikke tilfelle for ikke-kalsinert kaolinholdig leire. Ikke-kalsinert kaolinholdig leire bør derfor ikke omfattes av virkeområdet for forordning (EU) 2023/956.</w:t>
      </w:r>
    </w:p>
    <w:p w14:paraId="61716C67" w14:textId="77777777" w:rsidR="005D314E" w:rsidRPr="00576C3D" w:rsidRDefault="005D314E" w:rsidP="00576C3D">
      <w:pPr>
        <w:pStyle w:val="friliste"/>
      </w:pPr>
      <w:r w:rsidRPr="00576C3D">
        <w:t>34)</w:t>
      </w:r>
      <w:r w:rsidRPr="00576C3D">
        <w:tab/>
        <w:t>Vedlegg II til forordning (EU) 2023/956 inneholder en liste over varer der det bare skal tas hensyn til direkte utslipp ved beregning av innbakte utslipp. For varer som ikke er oppført i det nevnte vedlegget, bør det tas hensyn til både direkte og indirekte utslipp. Siden indirekte utslipp ikke er relevante for elektrisitetsproduksjon, bør elektrisitet føres opp på listen over varer i det nevnte vedlegget.</w:t>
      </w:r>
    </w:p>
    <w:p w14:paraId="57588DB9" w14:textId="77777777" w:rsidR="005D314E" w:rsidRPr="00576C3D" w:rsidRDefault="005D314E" w:rsidP="00576C3D">
      <w:pPr>
        <w:pStyle w:val="friliste"/>
      </w:pPr>
      <w:r w:rsidRPr="00576C3D">
        <w:t>35)</w:t>
      </w:r>
      <w:r w:rsidRPr="00576C3D">
        <w:tab/>
        <w:t>Det er nødvendig å forenkle metodene for å fastsette standardverdier når pålitelige data for eksportlandet ikke vil være tilgjengelige for en bestemt varetype. For å hindre karbonlekkasje bør standardverdien i slike tilfeller tilsvare den gjennomsnittlige utslippsintensiteten for de ti eksportlandene med de høyeste utslippsintensitetene som det foreligger pålitelige data for, noe som er et passende gjennomsnitt for å sikre miljømålet for CBAM. Dette berører ikke muligheten for å tilpasse disse standardverdiene på grunnlag av regionspesifikke egenskaper i henhold til nr. 7 i vedlegg IV til forordning (EU) 2023/956.</w:t>
      </w:r>
    </w:p>
    <w:p w14:paraId="7B41D808" w14:textId="77777777" w:rsidR="005D314E" w:rsidRPr="00576C3D" w:rsidRDefault="005D314E" w:rsidP="00576C3D">
      <w:pPr>
        <w:pStyle w:val="friliste"/>
      </w:pPr>
      <w:r w:rsidRPr="00576C3D">
        <w:t>36)</w:t>
      </w:r>
      <w:r w:rsidRPr="00576C3D">
        <w:tab/>
        <w:t>For å utfylle og endre visse ikke-grunnleggende bestemmelser i forordning (EU) 2023/956 bør myndigheten til å vedta rettsakter i samsvar med artikkel 290 i traktaten om Den europeiske unions virkemåte delegeres til Kommisjonen med hensyn til endring av den samlede massebaserte terskelverdien i vedlegg VII til nevnte forordning, dersom det er nødvendig, som fastsatt i samsvar med artikkel 2 nr. 3a i nevnte forordning, og utfylling av nevnte forordning for å fastslå at gebyrene som skal betales av autoriserte CBAM-</w:t>
      </w:r>
      <w:proofErr w:type="spellStart"/>
      <w:r w:rsidRPr="00576C3D">
        <w:t>deklaranter</w:t>
      </w:r>
      <w:proofErr w:type="spellEnd"/>
      <w:r w:rsidRPr="00576C3D">
        <w:t>, direkte finansierer kostnadene ved drift og forvaltning av den felles sentrale plattformen. Det er særlig viktig at Kommisjonen holder hensiktsmessige samråd under sitt forberedende arbeid, herunder på ekspertnivå, og at slike samråd gjennomføres i samsvar med prinsippene fastsatt i den tverrinstitusjonelle avtalen av 13. april 2016 om bedre regelverksutforming</w:t>
      </w:r>
      <w:r w:rsidRPr="00576C3D">
        <w:rPr>
          <w:rStyle w:val="Fotnotereferanse"/>
        </w:rPr>
        <w:footnoteReference w:id="37"/>
      </w:r>
      <w:r w:rsidRPr="00576C3D">
        <w:t>. For å sikre lik deltakelse i forberedelsen av delegerte rettsakter skal Europaparlamentet og Rådet særlig motta alle dokumenter samtidig som medlemsstatenes eksperter, og deres eksperter gis systematisk adgang til møter i Kommisjonens ekspertgrupper som omhandler forberedelsen av delegerte rettsakter.</w:t>
      </w:r>
    </w:p>
    <w:p w14:paraId="2809A557" w14:textId="77777777" w:rsidR="005D314E" w:rsidRPr="00576C3D" w:rsidRDefault="005D314E" w:rsidP="00576C3D">
      <w:pPr>
        <w:pStyle w:val="friliste"/>
      </w:pPr>
      <w:r w:rsidRPr="00576C3D">
        <w:t>37)</w:t>
      </w:r>
      <w:r w:rsidRPr="00576C3D">
        <w:tab/>
        <w:t>Ettersom målene for denne forordningen, som er å forenkle visse forpliktelser og styrke ordningen Unionen har innført for å hindre risikoen for karbonlekkasje og dermed redusere de globale karbonutslippene, ikke kan nås i tilstrekkelig grad av medlemsstatene og derfor på grunn av tiltakets omfang og virkninger bedre kan nås på unionsplan, kan Unionen treffe tiltak i samsvar med nærhetsprinsippet som fastsatt i artikkel 5 i traktaten om Den europeiske union. I samsvar med forholdsmessighetsprinsippet fastsatt i den nevnte artikkelen, går denne forordningen ikke lenger enn det som er nødvendig for å nå disse målene.</w:t>
      </w:r>
    </w:p>
    <w:p w14:paraId="1518CCF4" w14:textId="77777777" w:rsidR="005D314E" w:rsidRPr="00576C3D" w:rsidRDefault="005D314E" w:rsidP="00576C3D">
      <w:pPr>
        <w:pStyle w:val="friliste"/>
      </w:pPr>
      <w:r w:rsidRPr="00576C3D">
        <w:t>38)</w:t>
      </w:r>
      <w:r w:rsidRPr="00576C3D">
        <w:tab/>
        <w:t xml:space="preserve">For å sikre at delegerte rettsakter og gjennomføringsrettsakter i henhold til forordning (EU) 2023/956 skal kunne vedtas rettidig, bør denne forordningen tre i kraft dagen etter at den er kunngjort i </w:t>
      </w:r>
      <w:r w:rsidRPr="00576C3D">
        <w:rPr>
          <w:rStyle w:val="kursiv"/>
        </w:rPr>
        <w:t>Den europeiske unions tidende</w:t>
      </w:r>
      <w:r w:rsidRPr="00576C3D">
        <w:t>.</w:t>
      </w:r>
    </w:p>
    <w:p w14:paraId="737B7804" w14:textId="77777777" w:rsidR="005D314E" w:rsidRPr="00576C3D" w:rsidRDefault="005D314E" w:rsidP="00576C3D">
      <w:pPr>
        <w:pStyle w:val="friliste"/>
      </w:pPr>
      <w:r w:rsidRPr="00576C3D">
        <w:t>39)</w:t>
      </w:r>
      <w:r w:rsidRPr="00576C3D">
        <w:tab/>
        <w:t>Forordning (EU) 2023/956 bør derfor endres.</w:t>
      </w:r>
    </w:p>
    <w:p w14:paraId="43374E82" w14:textId="77777777" w:rsidR="00F05D58" w:rsidRDefault="00F05D58" w:rsidP="00576C3D"/>
    <w:p w14:paraId="62B82750" w14:textId="509019B6" w:rsidR="005D314E" w:rsidRPr="00576C3D" w:rsidRDefault="005D314E" w:rsidP="00576C3D">
      <w:r w:rsidRPr="00576C3D">
        <w:t>VEDTATT DENNE FORORDNINGEN:</w:t>
      </w:r>
    </w:p>
    <w:p w14:paraId="4DC91DA0" w14:textId="77777777" w:rsidR="005D314E" w:rsidRPr="00576C3D" w:rsidRDefault="005D314E" w:rsidP="00576C3D">
      <w:pPr>
        <w:pStyle w:val="avsnitt-undertittel"/>
      </w:pPr>
      <w:r w:rsidRPr="00576C3D">
        <w:t>Artikkel 1</w:t>
      </w:r>
    </w:p>
    <w:p w14:paraId="37825CBD" w14:textId="77777777" w:rsidR="005D314E" w:rsidRPr="00576C3D" w:rsidRDefault="005D314E" w:rsidP="00576C3D">
      <w:pPr>
        <w:pStyle w:val="Undertittel"/>
      </w:pPr>
      <w:r w:rsidRPr="00576C3D">
        <w:t>Endring av forordning (EU) 2023/956</w:t>
      </w:r>
    </w:p>
    <w:p w14:paraId="1F2CA1CB" w14:textId="77777777" w:rsidR="005D314E" w:rsidRPr="00576C3D" w:rsidRDefault="005D314E" w:rsidP="00576C3D">
      <w:r w:rsidRPr="00576C3D">
        <w:t>I forordning (EU) 2023/956 gjøres følgende endringer:</w:t>
      </w:r>
    </w:p>
    <w:p w14:paraId="0E47A824" w14:textId="77777777" w:rsidR="005D314E" w:rsidRPr="00576C3D" w:rsidRDefault="005D314E" w:rsidP="00576C3D">
      <w:pPr>
        <w:pStyle w:val="friliste"/>
      </w:pPr>
      <w:r w:rsidRPr="00576C3D">
        <w:t>1)</w:t>
      </w:r>
      <w:r w:rsidRPr="00576C3D">
        <w:tab/>
        <w:t>I artikkel 2 gjøres følgende endringer:</w:t>
      </w:r>
    </w:p>
    <w:p w14:paraId="6E0A13D0" w14:textId="77777777" w:rsidR="005D314E" w:rsidRPr="00576C3D" w:rsidRDefault="005D314E" w:rsidP="00576C3D">
      <w:pPr>
        <w:pStyle w:val="friliste2"/>
      </w:pPr>
      <w:r w:rsidRPr="00576C3D">
        <w:t>a)</w:t>
      </w:r>
      <w:r w:rsidRPr="00576C3D">
        <w:tab/>
        <w:t>Nr. 3 skal lyde:</w:t>
      </w:r>
    </w:p>
    <w:p w14:paraId="13A70F3F" w14:textId="77777777" w:rsidR="005D314E" w:rsidRPr="00576C3D" w:rsidRDefault="005D314E" w:rsidP="00576C3D">
      <w:pPr>
        <w:pStyle w:val="friliste3"/>
      </w:pPr>
      <w:r w:rsidRPr="00576C3D">
        <w:t>«3.</w:t>
      </w:r>
      <w:r w:rsidRPr="00576C3D">
        <w:tab/>
        <w:t>Som unntak fra nr. 1 og 2 skal denne forordningen ikke gjelde for varer som skal flyttes eller brukes i forbindelse med militær virksomhet i henhold til artikkel 1 nr. 49 i delegert kommisjonsforordning (EU) 2015/2446(*).</w:t>
      </w:r>
    </w:p>
    <w:p w14:paraId="0B00A0F5" w14:textId="65E7F0D9" w:rsidR="005D314E" w:rsidRPr="00576C3D" w:rsidRDefault="005D314E" w:rsidP="00576C3D">
      <w:pPr>
        <w:pStyle w:val="Petit"/>
      </w:pPr>
      <w:r w:rsidRPr="00576C3D">
        <w:t>(</w:t>
      </w:r>
      <w:bookmarkStart w:id="0" w:name="RTF4e4f54455f3130"/>
      <w:r w:rsidRPr="00576C3D">
        <w:t>*)</w:t>
      </w:r>
      <w:r w:rsidRPr="00576C3D">
        <w:tab/>
      </w:r>
      <w:r w:rsidRPr="00576C3D">
        <w:tab/>
        <w:t>Delegert kommisjonsforordning (EU) 2015/2446 av 28</w:t>
      </w:r>
      <w:bookmarkEnd w:id="0"/>
      <w:r w:rsidRPr="00576C3D">
        <w:t>. juli 2015 om utfylling av europaparlaments- og rådsforordning (EU) nr. 952/2013 med hensyn til nærmere regler for visse bestemmelser i Unionens tollkodeks (EUT L 343 av 29.12.2015, s. 1, ELI: </w:t>
      </w:r>
      <w:hyperlink r:id="rId10" w:history="1"/>
      <w:r w:rsidRPr="00576C3D">
        <w:rPr>
          <w:rStyle w:val="Hyperkobling"/>
        </w:rPr>
        <w:t>http://data.europa.eu/</w:t>
      </w:r>
      <w:proofErr w:type="spellStart"/>
      <w:r w:rsidRPr="00576C3D">
        <w:rPr>
          <w:rStyle w:val="Hyperkobling"/>
        </w:rPr>
        <w:t>eli</w:t>
      </w:r>
      <w:proofErr w:type="spellEnd"/>
      <w:r w:rsidRPr="00576C3D">
        <w:rPr>
          <w:rStyle w:val="Hyperkobling"/>
        </w:rPr>
        <w:t>/</w:t>
      </w:r>
      <w:proofErr w:type="spellStart"/>
      <w:r w:rsidRPr="00576C3D">
        <w:rPr>
          <w:rStyle w:val="Hyperkobling"/>
        </w:rPr>
        <w:t>reg_del</w:t>
      </w:r>
      <w:proofErr w:type="spellEnd"/>
      <w:r w:rsidRPr="00576C3D">
        <w:rPr>
          <w:rStyle w:val="Hyperkobling"/>
        </w:rPr>
        <w:t>/2015/2446/</w:t>
      </w:r>
      <w:proofErr w:type="spellStart"/>
      <w:r w:rsidRPr="00576C3D">
        <w:rPr>
          <w:rStyle w:val="Hyperkobling"/>
        </w:rPr>
        <w:t>oj</w:t>
      </w:r>
      <w:proofErr w:type="spellEnd"/>
      <w:r w:rsidRPr="00576C3D">
        <w:rPr>
          <w:rStyle w:val="Hyperkobling"/>
        </w:rPr>
        <w:t>).»</w:t>
      </w:r>
      <w:r w:rsidRPr="00576C3D">
        <w:t>.</w:t>
      </w:r>
    </w:p>
    <w:p w14:paraId="322B8BE8" w14:textId="77777777" w:rsidR="005D314E" w:rsidRPr="00576C3D" w:rsidRDefault="005D314E" w:rsidP="00576C3D">
      <w:pPr>
        <w:pStyle w:val="friliste2"/>
      </w:pPr>
      <w:r w:rsidRPr="00576C3D">
        <w:t>b)</w:t>
      </w:r>
      <w:r w:rsidRPr="00576C3D">
        <w:tab/>
        <w:t>Nytt nummer skal lyde:</w:t>
      </w:r>
    </w:p>
    <w:p w14:paraId="4BA2FFE6" w14:textId="77777777" w:rsidR="005D314E" w:rsidRPr="00576C3D" w:rsidRDefault="005D314E" w:rsidP="00576C3D">
      <w:pPr>
        <w:pStyle w:val="friliste3"/>
      </w:pPr>
      <w:r w:rsidRPr="00576C3D">
        <w:t>«3a.</w:t>
      </w:r>
      <w:r w:rsidRPr="00576C3D">
        <w:tab/>
        <w:t xml:space="preserve">Denne forordningen får ikke </w:t>
      </w:r>
      <w:proofErr w:type="gramStart"/>
      <w:r w:rsidRPr="00576C3D">
        <w:t>anvendelse</w:t>
      </w:r>
      <w:proofErr w:type="gramEnd"/>
      <w:r w:rsidRPr="00576C3D">
        <w:t xml:space="preserve"> på</w:t>
      </w:r>
    </w:p>
    <w:p w14:paraId="473FF25F" w14:textId="77777777" w:rsidR="005D314E" w:rsidRPr="00576C3D" w:rsidRDefault="005D314E" w:rsidP="00576C3D">
      <w:pPr>
        <w:pStyle w:val="friliste4"/>
      </w:pPr>
      <w:r w:rsidRPr="00576C3D">
        <w:t>a)</w:t>
      </w:r>
      <w:r w:rsidRPr="00576C3D">
        <w:tab/>
        <w:t>elektrisitet som produseres på kontinentalsokkelen eller i den eksklusive økonomiske sonen til en medlemsstat eller til et land eller territorium oppført i vedlegg III nr. 1 og 2,</w:t>
      </w:r>
    </w:p>
    <w:p w14:paraId="7B41FBDA" w14:textId="77777777" w:rsidR="005D314E" w:rsidRPr="00576C3D" w:rsidRDefault="005D314E" w:rsidP="00576C3D">
      <w:pPr>
        <w:pStyle w:val="friliste4"/>
      </w:pPr>
      <w:r w:rsidRPr="00576C3D">
        <w:t>b)</w:t>
      </w:r>
      <w:r w:rsidRPr="00576C3D">
        <w:tab/>
        <w:t>hydrogen med opprinnelse på kontinentalsokkelen eller i den eksklusive økonomiske sonen til en medlemsstat eller til et land eller territorium oppført i vedlegg III nr. 1.».</w:t>
      </w:r>
    </w:p>
    <w:p w14:paraId="2D67D621" w14:textId="77777777" w:rsidR="005D314E" w:rsidRPr="00576C3D" w:rsidRDefault="005D314E" w:rsidP="00576C3D">
      <w:pPr>
        <w:pStyle w:val="friliste"/>
      </w:pPr>
      <w:r w:rsidRPr="00576C3D">
        <w:t>2)</w:t>
      </w:r>
      <w:r w:rsidRPr="00576C3D">
        <w:tab/>
        <w:t>Følgende artikkel innsettes:</w:t>
      </w:r>
    </w:p>
    <w:p w14:paraId="038E7441" w14:textId="77777777" w:rsidR="005D314E" w:rsidRPr="00576C3D" w:rsidRDefault="005D314E" w:rsidP="00576C3D">
      <w:pPr>
        <w:pStyle w:val="Listeavsnitt"/>
        <w:rPr>
          <w:rStyle w:val="kursiv"/>
        </w:rPr>
      </w:pPr>
      <w:r w:rsidRPr="00576C3D">
        <w:rPr>
          <w:rStyle w:val="kursiv"/>
        </w:rPr>
        <w:t>«Artikkel 2a</w:t>
      </w:r>
    </w:p>
    <w:p w14:paraId="0B0E80F0" w14:textId="77777777" w:rsidR="005D314E" w:rsidRPr="00576C3D" w:rsidRDefault="005D314E" w:rsidP="00576C3D">
      <w:pPr>
        <w:pStyle w:val="Listeavsnitt"/>
        <w:rPr>
          <w:rStyle w:val="halvfet0"/>
        </w:rPr>
      </w:pPr>
      <w:r w:rsidRPr="00576C3D">
        <w:rPr>
          <w:rStyle w:val="halvfet0"/>
        </w:rPr>
        <w:t xml:space="preserve">De </w:t>
      </w:r>
      <w:proofErr w:type="spellStart"/>
      <w:r w:rsidRPr="00576C3D">
        <w:rPr>
          <w:rStyle w:val="halvfet0"/>
        </w:rPr>
        <w:t>minimis</w:t>
      </w:r>
      <w:proofErr w:type="spellEnd"/>
      <w:r w:rsidRPr="00576C3D">
        <w:rPr>
          <w:rStyle w:val="halvfet0"/>
        </w:rPr>
        <w:t>-unntak</w:t>
      </w:r>
    </w:p>
    <w:p w14:paraId="467527D1" w14:textId="77777777" w:rsidR="005D314E" w:rsidRPr="00576C3D" w:rsidRDefault="005D314E" w:rsidP="00576C3D">
      <w:pPr>
        <w:pStyle w:val="friliste2"/>
      </w:pPr>
      <w:r w:rsidRPr="00576C3D">
        <w:t>1.</w:t>
      </w:r>
      <w:r w:rsidRPr="00576C3D">
        <w:tab/>
        <w:t>En importør, herunder enhver importør med status som autorisert CBAM-</w:t>
      </w:r>
      <w:proofErr w:type="spellStart"/>
      <w:r w:rsidRPr="00576C3D">
        <w:t>deklarant</w:t>
      </w:r>
      <w:proofErr w:type="spellEnd"/>
      <w:r w:rsidRPr="00576C3D">
        <w:t xml:space="preserve">, skal unntas fra forpliktelsene i henhold til denne forordningen dersom nettomassen av de importerte varene i et gitt kalenderår ikke kumulativt overstiger den samlede massebaserte terskelverdien fastsatt i vedlegg VII nr. 1 («den samlede massebaserte terskelverdien»). Denne terskelverdien får </w:t>
      </w:r>
      <w:proofErr w:type="gramStart"/>
      <w:r w:rsidRPr="00576C3D">
        <w:t>anvendelse</w:t>
      </w:r>
      <w:proofErr w:type="gramEnd"/>
      <w:r w:rsidRPr="00576C3D">
        <w:t xml:space="preserve"> på den samlede nettomassen av varer under alle KN-koder aggregert per importør og per kalenderår. I så fall skal importøren, herunder en importør med status som autorisert CBAM-</w:t>
      </w:r>
      <w:proofErr w:type="spellStart"/>
      <w:r w:rsidRPr="00576C3D">
        <w:t>deklarant</w:t>
      </w:r>
      <w:proofErr w:type="spellEnd"/>
      <w:r w:rsidRPr="00576C3D">
        <w:t>, angi dette unntaket i den relevante tolldeklarasjonen.</w:t>
      </w:r>
    </w:p>
    <w:p w14:paraId="17855259" w14:textId="77777777" w:rsidR="005D314E" w:rsidRPr="00576C3D" w:rsidRDefault="005D314E" w:rsidP="00576C3D">
      <w:pPr>
        <w:pStyle w:val="friliste2"/>
      </w:pPr>
      <w:r w:rsidRPr="00576C3D">
        <w:t>2.</w:t>
      </w:r>
      <w:r w:rsidRPr="00576C3D">
        <w:tab/>
        <w:t>Dersom en importør, herunder enhver importør med status som autorisert CBAM-</w:t>
      </w:r>
      <w:proofErr w:type="spellStart"/>
      <w:r w:rsidRPr="00576C3D">
        <w:t>deklarant</w:t>
      </w:r>
      <w:proofErr w:type="spellEnd"/>
      <w:r w:rsidRPr="00576C3D">
        <w:t>, i løpet av det aktuelle kalenderåret overskrider den samlede massebaserte terskelverdien, skal importøren eller den autoriserte CBAM-</w:t>
      </w:r>
      <w:proofErr w:type="spellStart"/>
      <w:r w:rsidRPr="00576C3D">
        <w:t>deklaranten</w:t>
      </w:r>
      <w:proofErr w:type="spellEnd"/>
      <w:r w:rsidRPr="00576C3D">
        <w:t xml:space="preserve"> være underlagt alle forpliktelser i henhold til denne forordningen med hensyn til alle utslipp som er innbakt i alle varer som er importert i det aktuelle kalenderåret.</w:t>
      </w:r>
    </w:p>
    <w:p w14:paraId="70B4D681" w14:textId="77777777" w:rsidR="005D314E" w:rsidRPr="00576C3D" w:rsidRDefault="005D314E" w:rsidP="00576C3D">
      <w:pPr>
        <w:pStyle w:val="friliste2"/>
      </w:pPr>
      <w:r w:rsidRPr="00576C3D">
        <w:t>3.</w:t>
      </w:r>
      <w:r w:rsidRPr="00576C3D">
        <w:tab/>
        <w:t xml:space="preserve">Innen 30. april hvert kalenderår skal Kommisjonen på grunnlag av importdataene for de foregående 12 kalendermånedene vurdere om den samlede massebaserte terskelverdien sikrer at nr. 1 i denne artikkelen får </w:t>
      </w:r>
      <w:proofErr w:type="gramStart"/>
      <w:r w:rsidRPr="00576C3D">
        <w:t>anvendelse</w:t>
      </w:r>
      <w:proofErr w:type="gramEnd"/>
      <w:r w:rsidRPr="00576C3D">
        <w:t xml:space="preserve"> på høyst 1 % av utslippene som er innbakt i de importerte varene og de bearbeidede produktene. Kommisjonen skal vedta delegerte rettsakter i samsvar med artikkel 28 for å endre den samlede massebaserte terskelverdien ved å bruke metoden i nr. 2 i vedlegg VII dersom verdien av den resulterende terskelverdien avviker fra den gjeldende terskelverdien med mer enn 15 tonn. Den endrede samlede massebaserte terskelverdien skal gjelde fra 1. januar i det følgende kalenderåret.</w:t>
      </w:r>
    </w:p>
    <w:p w14:paraId="6495F937" w14:textId="77777777" w:rsidR="005D314E" w:rsidRPr="00576C3D" w:rsidRDefault="005D314E" w:rsidP="00576C3D">
      <w:pPr>
        <w:pStyle w:val="friliste2"/>
      </w:pPr>
      <w:r w:rsidRPr="00576C3D">
        <w:t>4.</w:t>
      </w:r>
      <w:r w:rsidRPr="00576C3D">
        <w:tab/>
        <w:t xml:space="preserve">Denne artikkelen får ikke </w:t>
      </w:r>
      <w:proofErr w:type="gramStart"/>
      <w:r w:rsidRPr="00576C3D">
        <w:t>anvendelse</w:t>
      </w:r>
      <w:proofErr w:type="gramEnd"/>
      <w:r w:rsidRPr="00576C3D">
        <w:t xml:space="preserve"> på import av elektrisitet eller hydrogen.».</w:t>
      </w:r>
    </w:p>
    <w:p w14:paraId="6886919D" w14:textId="77777777" w:rsidR="005D314E" w:rsidRPr="00576C3D" w:rsidRDefault="005D314E" w:rsidP="00576C3D">
      <w:pPr>
        <w:pStyle w:val="friliste"/>
      </w:pPr>
      <w:r w:rsidRPr="00576C3D">
        <w:t>3)</w:t>
      </w:r>
      <w:r w:rsidRPr="00576C3D">
        <w:tab/>
        <w:t>I artikkel 3 gjøres følgende endringer:</w:t>
      </w:r>
    </w:p>
    <w:p w14:paraId="0D8D1DB0" w14:textId="77777777" w:rsidR="005D314E" w:rsidRPr="00576C3D" w:rsidRDefault="005D314E" w:rsidP="00576C3D">
      <w:pPr>
        <w:pStyle w:val="friliste2"/>
      </w:pPr>
      <w:r w:rsidRPr="00576C3D">
        <w:t>a)</w:t>
      </w:r>
      <w:r w:rsidRPr="00576C3D">
        <w:tab/>
        <w:t>Nr. 15 skal lyde:</w:t>
      </w:r>
    </w:p>
    <w:p w14:paraId="79B8A0C2" w14:textId="77777777" w:rsidR="005D314E" w:rsidRPr="00576C3D" w:rsidRDefault="005D314E" w:rsidP="00576C3D">
      <w:pPr>
        <w:pStyle w:val="friliste3"/>
      </w:pPr>
      <w:r w:rsidRPr="00576C3D">
        <w:t>«15)</w:t>
      </w:r>
      <w:r w:rsidRPr="00576C3D">
        <w:tab/>
        <w:t>«importør» enten personen som inngir en tolldeklarasjon for overgang til fri disponering av varer eller et oppgjørsdokument i samsvar med artikkel 175 nr. 5 i delegert forordning (EU) 2015/2446 i eget navn og på egne vegne, eller, dersom tolldeklarasjonen inngis av en indirekte tollrepresentant i samsvar med artikkel 18 i forordning (EU) nr. 952/2013, personen som en slik deklarasjon inngis på vegne av,».</w:t>
      </w:r>
    </w:p>
    <w:p w14:paraId="3AFC18AE" w14:textId="77777777" w:rsidR="005D314E" w:rsidRPr="00576C3D" w:rsidRDefault="005D314E" w:rsidP="00576C3D">
      <w:pPr>
        <w:pStyle w:val="friliste2"/>
      </w:pPr>
      <w:r w:rsidRPr="00576C3D">
        <w:t>b)</w:t>
      </w:r>
      <w:r w:rsidRPr="00576C3D">
        <w:tab/>
        <w:t>Nr. 31 skal lyde:</w:t>
      </w:r>
    </w:p>
    <w:p w14:paraId="744B9BC2" w14:textId="77777777" w:rsidR="005D314E" w:rsidRPr="00576C3D" w:rsidRDefault="005D314E" w:rsidP="00576C3D">
      <w:pPr>
        <w:pStyle w:val="friliste3"/>
      </w:pPr>
      <w:r w:rsidRPr="00576C3D">
        <w:t>«31)</w:t>
      </w:r>
      <w:r w:rsidRPr="00576C3D">
        <w:tab/>
        <w:t>«operatør» enhver person som driver eller kontrollerer et anlegg i et tredjeland, inkludert et morselskap som kontrollerer et anlegg i et tredjeland,».</w:t>
      </w:r>
    </w:p>
    <w:p w14:paraId="13A3456F" w14:textId="77777777" w:rsidR="005D314E" w:rsidRPr="00576C3D" w:rsidRDefault="005D314E" w:rsidP="00576C3D">
      <w:pPr>
        <w:pStyle w:val="friliste"/>
      </w:pPr>
      <w:r w:rsidRPr="00576C3D">
        <w:t>4)</w:t>
      </w:r>
      <w:r w:rsidRPr="00576C3D">
        <w:tab/>
        <w:t>I artikkel 5 gjøres følgende endringer:</w:t>
      </w:r>
    </w:p>
    <w:p w14:paraId="79AB72C9" w14:textId="77777777" w:rsidR="005D314E" w:rsidRPr="00576C3D" w:rsidRDefault="005D314E" w:rsidP="00576C3D">
      <w:pPr>
        <w:pStyle w:val="friliste2"/>
      </w:pPr>
      <w:r w:rsidRPr="00576C3D">
        <w:t>a)</w:t>
      </w:r>
      <w:r w:rsidRPr="00576C3D">
        <w:tab/>
        <w:t>Nr. 1 skal lyde:</w:t>
      </w:r>
    </w:p>
    <w:p w14:paraId="415F8374" w14:textId="77777777" w:rsidR="005D314E" w:rsidRPr="00576C3D" w:rsidRDefault="005D314E" w:rsidP="00576C3D">
      <w:pPr>
        <w:pStyle w:val="friliste3"/>
      </w:pPr>
      <w:r w:rsidRPr="00576C3D">
        <w:t>«1.</w:t>
      </w:r>
      <w:r w:rsidRPr="00576C3D">
        <w:tab/>
        <w:t>Enhver importør etablert i en medlemsstat skal, før import av varer til Unionens tollområde, søke om status som autorisert CBAM-</w:t>
      </w:r>
      <w:proofErr w:type="spellStart"/>
      <w:r w:rsidRPr="00576C3D">
        <w:t>deklarant</w:t>
      </w:r>
      <w:proofErr w:type="spellEnd"/>
      <w:r w:rsidRPr="00576C3D">
        <w:t xml:space="preserve"> («søknad om autorisasjon»).».</w:t>
      </w:r>
    </w:p>
    <w:p w14:paraId="0842CB7E" w14:textId="77777777" w:rsidR="005D314E" w:rsidRPr="00576C3D" w:rsidRDefault="005D314E" w:rsidP="00576C3D">
      <w:pPr>
        <w:pStyle w:val="friliste2"/>
      </w:pPr>
      <w:r w:rsidRPr="00576C3D">
        <w:t>b)</w:t>
      </w:r>
      <w:r w:rsidRPr="00576C3D">
        <w:tab/>
        <w:t>Nye numre skal lyde:</w:t>
      </w:r>
    </w:p>
    <w:p w14:paraId="058545CB" w14:textId="77777777" w:rsidR="005D314E" w:rsidRPr="00576C3D" w:rsidRDefault="005D314E" w:rsidP="00576C3D">
      <w:pPr>
        <w:pStyle w:val="friliste3"/>
      </w:pPr>
      <w:r w:rsidRPr="00576C3D">
        <w:t>«1a.</w:t>
      </w:r>
      <w:r w:rsidRPr="00576C3D">
        <w:tab/>
        <w:t>En indirekte tollrepresentant skal oppnå status som autorisert CBAM-</w:t>
      </w:r>
      <w:proofErr w:type="spellStart"/>
      <w:r w:rsidRPr="00576C3D">
        <w:t>deklarant</w:t>
      </w:r>
      <w:proofErr w:type="spellEnd"/>
      <w:r w:rsidRPr="00576C3D">
        <w:t xml:space="preserve"> før import av varer til Unionens tollområde. En indirekte tollrepresentant skal fungere som en autorisert CBAM-</w:t>
      </w:r>
      <w:proofErr w:type="spellStart"/>
      <w:r w:rsidRPr="00576C3D">
        <w:t>deklarant</w:t>
      </w:r>
      <w:proofErr w:type="spellEnd"/>
      <w:r w:rsidRPr="00576C3D">
        <w:t xml:space="preserve"> dersom den indirekte tollrepresentanten er oppnevnt av en importør i samsvar med artikkel 18 i forordning (EU) nr. 952/2013 og samtykker i å fungere som en autorisert CBAM-</w:t>
      </w:r>
      <w:proofErr w:type="spellStart"/>
      <w:r w:rsidRPr="00576C3D">
        <w:t>deklarant</w:t>
      </w:r>
      <w:proofErr w:type="spellEnd"/>
      <w:r w:rsidRPr="00576C3D">
        <w:t>, uavhengig av om importøren er fritatt for forpliktelsene i henhold til denne forordningen i henhold til artikkel 2a i denne forordningen.</w:t>
      </w:r>
    </w:p>
    <w:p w14:paraId="64D325E1" w14:textId="77777777" w:rsidR="005D314E" w:rsidRPr="00576C3D" w:rsidRDefault="005D314E" w:rsidP="00576C3D">
      <w:pPr>
        <w:pStyle w:val="friliste3"/>
      </w:pPr>
      <w:r w:rsidRPr="00576C3D">
        <w:t>1b.</w:t>
      </w:r>
      <w:r w:rsidRPr="00576C3D">
        <w:tab/>
        <w:t xml:space="preserve">Dersom artikkel 2a får </w:t>
      </w:r>
      <w:proofErr w:type="gramStart"/>
      <w:r w:rsidRPr="00576C3D">
        <w:t>anvendelse</w:t>
      </w:r>
      <w:proofErr w:type="gramEnd"/>
      <w:r w:rsidRPr="00576C3D">
        <w:t>, skal importøren inngi søknad om autorisasjon i tilfeller der importøren forventer å overskride den samlede massebaserte terskelverdien.».</w:t>
      </w:r>
    </w:p>
    <w:p w14:paraId="13611E3B" w14:textId="77777777" w:rsidR="005D314E" w:rsidRPr="00576C3D" w:rsidRDefault="005D314E" w:rsidP="00576C3D">
      <w:pPr>
        <w:pStyle w:val="friliste2"/>
      </w:pPr>
      <w:r w:rsidRPr="00576C3D">
        <w:t>c)</w:t>
      </w:r>
      <w:r w:rsidRPr="00576C3D">
        <w:tab/>
        <w:t>Nr. 2 skal lyde:</w:t>
      </w:r>
    </w:p>
    <w:p w14:paraId="0FD169B8" w14:textId="77777777" w:rsidR="005D314E" w:rsidRPr="00576C3D" w:rsidRDefault="005D314E" w:rsidP="00576C3D">
      <w:pPr>
        <w:pStyle w:val="friliste3"/>
      </w:pPr>
      <w:r w:rsidRPr="00576C3D">
        <w:t>«2.</w:t>
      </w:r>
      <w:r w:rsidRPr="00576C3D">
        <w:tab/>
        <w:t>Dersom en importør ikke er etablert i en medlemsstat, skal den indirekte tollrepresentanten oppnå status som autorisert CBAM-</w:t>
      </w:r>
      <w:proofErr w:type="spellStart"/>
      <w:r w:rsidRPr="00576C3D">
        <w:t>deklarant</w:t>
      </w:r>
      <w:proofErr w:type="spellEnd"/>
      <w:r w:rsidRPr="00576C3D">
        <w:t>, uavhengig av om importøren er fritatt for forpliktelsene i henhold til denne forordningen i henhold til artikkel 2a.».</w:t>
      </w:r>
    </w:p>
    <w:p w14:paraId="6FD178BB" w14:textId="77777777" w:rsidR="005D314E" w:rsidRPr="00576C3D" w:rsidRDefault="005D314E" w:rsidP="00576C3D">
      <w:pPr>
        <w:pStyle w:val="friliste2"/>
      </w:pPr>
      <w:r w:rsidRPr="00576C3D">
        <w:t>d)</w:t>
      </w:r>
      <w:r w:rsidRPr="00576C3D">
        <w:tab/>
        <w:t>Nytt nummer skal lyde:</w:t>
      </w:r>
    </w:p>
    <w:p w14:paraId="52118350" w14:textId="77777777" w:rsidR="005D314E" w:rsidRPr="00576C3D" w:rsidRDefault="005D314E" w:rsidP="00576C3D">
      <w:pPr>
        <w:pStyle w:val="friliste3"/>
      </w:pPr>
      <w:r w:rsidRPr="00576C3D">
        <w:t>«2a.</w:t>
      </w:r>
      <w:r w:rsidRPr="00576C3D">
        <w:tab/>
        <w:t>Dersom en indirekte tollrepresentant opptrer som en autorisert CBAM-</w:t>
      </w:r>
      <w:proofErr w:type="spellStart"/>
      <w:r w:rsidRPr="00576C3D">
        <w:t>deklarant</w:t>
      </w:r>
      <w:proofErr w:type="spellEnd"/>
      <w:r w:rsidRPr="00576C3D">
        <w:t xml:space="preserve"> på vegne av en importør, skal den indirekte tollrepresentanten være underlagt de forpliktelsene som gjelder for importøren i henhold til denne forordningen, når det gjelder varer som er importert av denne indirekte tollrepresentanten på vegne av denne importøren.».</w:t>
      </w:r>
    </w:p>
    <w:p w14:paraId="04E764C4" w14:textId="77777777" w:rsidR="005D314E" w:rsidRPr="00576C3D" w:rsidRDefault="005D314E" w:rsidP="00576C3D">
      <w:pPr>
        <w:pStyle w:val="friliste2"/>
      </w:pPr>
      <w:r w:rsidRPr="00576C3D">
        <w:t>e)</w:t>
      </w:r>
      <w:r w:rsidRPr="00576C3D">
        <w:tab/>
        <w:t>I nr. 5 gjøres følgende endringer:</w:t>
      </w:r>
    </w:p>
    <w:p w14:paraId="3C11585E" w14:textId="77777777" w:rsidR="005D314E" w:rsidRPr="00576C3D" w:rsidRDefault="005D314E" w:rsidP="00576C3D">
      <w:pPr>
        <w:pStyle w:val="friliste3"/>
      </w:pPr>
      <w:r w:rsidRPr="00576C3D">
        <w:t>i)</w:t>
      </w:r>
      <w:r w:rsidRPr="00576C3D">
        <w:tab/>
        <w:t>Bokstav g) skal lyde:</w:t>
      </w:r>
    </w:p>
    <w:p w14:paraId="0077EB97" w14:textId="77777777" w:rsidR="005D314E" w:rsidRPr="00576C3D" w:rsidRDefault="005D314E" w:rsidP="00576C3D">
      <w:pPr>
        <w:pStyle w:val="friliste4"/>
      </w:pPr>
      <w:r w:rsidRPr="00576C3D">
        <w:t>«g)</w:t>
      </w:r>
      <w:r w:rsidRPr="00576C3D">
        <w:tab/>
        <w:t>Anslått mengde av varer importert til Unionens tollområde etter varetype, og opplysninger om hvilke medlemsstater varene importeres til, for kalenderåret søknaden inngis og for det påfølgende kalenderåret.».</w:t>
      </w:r>
    </w:p>
    <w:p w14:paraId="1395A061" w14:textId="77777777" w:rsidR="005D314E" w:rsidRPr="00576C3D" w:rsidRDefault="005D314E" w:rsidP="00576C3D">
      <w:pPr>
        <w:pStyle w:val="friliste3"/>
      </w:pPr>
      <w:r w:rsidRPr="00576C3D">
        <w:t>ii)</w:t>
      </w:r>
      <w:r w:rsidRPr="00576C3D">
        <w:tab/>
        <w:t>Ny bokstav skal lyde:</w:t>
      </w:r>
    </w:p>
    <w:p w14:paraId="6E365645" w14:textId="77777777" w:rsidR="005D314E" w:rsidRPr="00576C3D" w:rsidRDefault="005D314E" w:rsidP="00576C3D">
      <w:pPr>
        <w:pStyle w:val="friliste4"/>
      </w:pPr>
      <w:r w:rsidRPr="00576C3D">
        <w:t>«ga)</w:t>
      </w:r>
      <w:r w:rsidRPr="00576C3D">
        <w:tab/>
        <w:t>nummeret på sertifikatet som godkjent økonomisk aktør (AEO), dersom søkeren har fått status som autorisert økonomisk aktør i samsvar med artikkel 38 i forordning (EU) nr. 952/2013.».</w:t>
      </w:r>
    </w:p>
    <w:p w14:paraId="359880C7" w14:textId="77777777" w:rsidR="005D314E" w:rsidRPr="00576C3D" w:rsidRDefault="005D314E" w:rsidP="00576C3D">
      <w:pPr>
        <w:pStyle w:val="friliste2"/>
      </w:pPr>
      <w:r w:rsidRPr="00576C3D">
        <w:t>f)</w:t>
      </w:r>
      <w:r w:rsidRPr="00576C3D">
        <w:tab/>
        <w:t>Nytt nummer skal lyde:</w:t>
      </w:r>
    </w:p>
    <w:p w14:paraId="36911D26" w14:textId="77777777" w:rsidR="005D314E" w:rsidRPr="00576C3D" w:rsidRDefault="005D314E" w:rsidP="00576C3D">
      <w:pPr>
        <w:pStyle w:val="friliste3"/>
      </w:pPr>
      <w:r w:rsidRPr="00576C3D">
        <w:t>«7a.</w:t>
      </w:r>
      <w:r w:rsidRPr="00576C3D">
        <w:tab/>
        <w:t>En autorisert CBAM-</w:t>
      </w:r>
      <w:proofErr w:type="spellStart"/>
      <w:r w:rsidRPr="00576C3D">
        <w:t>deklarant</w:t>
      </w:r>
      <w:proofErr w:type="spellEnd"/>
      <w:r w:rsidRPr="00576C3D">
        <w:t xml:space="preserve"> kan delegere innsendingen av CBAM-erklæringer som nevnt i artikkel 6 til en person som opptrer på vegne av den autoriserte CBAM-</w:t>
      </w:r>
      <w:proofErr w:type="spellStart"/>
      <w:r w:rsidRPr="00576C3D">
        <w:t>deklaranten</w:t>
      </w:r>
      <w:proofErr w:type="spellEnd"/>
      <w:r w:rsidRPr="00576C3D">
        <w:t xml:space="preserve"> og i dennes navn. Den autoriserte CBAM-</w:t>
      </w:r>
      <w:proofErr w:type="spellStart"/>
      <w:r w:rsidRPr="00576C3D">
        <w:t>deklaranten</w:t>
      </w:r>
      <w:proofErr w:type="spellEnd"/>
      <w:r w:rsidRPr="00576C3D">
        <w:t xml:space="preserve"> skal fortsatt være ansvarlig for at de forpliktelsene som gjelder for vedkommende i henhold til denne forordningen, overholdes.».</w:t>
      </w:r>
    </w:p>
    <w:p w14:paraId="7817FFE3" w14:textId="77777777" w:rsidR="005D314E" w:rsidRPr="00576C3D" w:rsidRDefault="005D314E" w:rsidP="00576C3D">
      <w:pPr>
        <w:pStyle w:val="friliste"/>
      </w:pPr>
      <w:r w:rsidRPr="00576C3D">
        <w:t>5)</w:t>
      </w:r>
      <w:r w:rsidRPr="00576C3D">
        <w:tab/>
        <w:t>I artikkel 6 gjøres følgende endringer:</w:t>
      </w:r>
    </w:p>
    <w:p w14:paraId="4BC09370" w14:textId="77777777" w:rsidR="005D314E" w:rsidRPr="00576C3D" w:rsidRDefault="005D314E" w:rsidP="00576C3D">
      <w:pPr>
        <w:pStyle w:val="friliste2"/>
      </w:pPr>
      <w:r w:rsidRPr="00576C3D">
        <w:t>a)</w:t>
      </w:r>
      <w:r w:rsidRPr="00576C3D">
        <w:tab/>
        <w:t>Nr. 1 og 2 skal lyde:</w:t>
      </w:r>
    </w:p>
    <w:p w14:paraId="35E4FFC9" w14:textId="77777777" w:rsidR="005D314E" w:rsidRPr="00576C3D" w:rsidRDefault="005D314E" w:rsidP="00576C3D">
      <w:pPr>
        <w:pStyle w:val="friliste3"/>
      </w:pPr>
      <w:r w:rsidRPr="00576C3D">
        <w:t>«1.</w:t>
      </w:r>
      <w:r w:rsidRPr="00576C3D">
        <w:tab/>
        <w:t>Innen 30. september hvert år, og første gang i 2027 for 2026, skal hver autorisert CBAM-</w:t>
      </w:r>
      <w:proofErr w:type="spellStart"/>
      <w:r w:rsidRPr="00576C3D">
        <w:t>deklarant</w:t>
      </w:r>
      <w:proofErr w:type="spellEnd"/>
      <w:r w:rsidRPr="00576C3D">
        <w:t xml:space="preserve"> bruke CBAM-registeret nevnt i artikkel 14 til å sende inn en CBAM-erklæring for det foregående kalenderåret.</w:t>
      </w:r>
    </w:p>
    <w:p w14:paraId="2D35A287" w14:textId="77777777" w:rsidR="005D314E" w:rsidRPr="00576C3D" w:rsidRDefault="005D314E" w:rsidP="00576C3D">
      <w:pPr>
        <w:pStyle w:val="friliste3"/>
      </w:pPr>
      <w:r w:rsidRPr="00576C3D">
        <w:t>2.</w:t>
      </w:r>
      <w:r w:rsidRPr="00576C3D">
        <w:tab/>
        <w:t>CBAM-erklæringen skal inneholde følgende opplysninger:</w:t>
      </w:r>
    </w:p>
    <w:p w14:paraId="7DA8ED15" w14:textId="77777777" w:rsidR="005D314E" w:rsidRPr="00576C3D" w:rsidRDefault="005D314E" w:rsidP="00576C3D">
      <w:pPr>
        <w:pStyle w:val="friliste4"/>
      </w:pPr>
      <w:r w:rsidRPr="00576C3D">
        <w:t>a)</w:t>
      </w:r>
      <w:r w:rsidRPr="00576C3D">
        <w:tab/>
        <w:t xml:space="preserve">Den samlede mengden av hver varetype som er importert i løpet av foregående kalenderår, uttrykt i </w:t>
      </w:r>
      <w:proofErr w:type="spellStart"/>
      <w:r w:rsidRPr="00576C3D">
        <w:t>megawattimer</w:t>
      </w:r>
      <w:proofErr w:type="spellEnd"/>
      <w:r w:rsidRPr="00576C3D">
        <w:t xml:space="preserve"> for elektrisitet og i tonn for andre varer, herunder importerte varer som faller under den samlede massebaserte terskelverdien.</w:t>
      </w:r>
    </w:p>
    <w:p w14:paraId="549C28E0" w14:textId="77777777" w:rsidR="005D314E" w:rsidRPr="00576C3D" w:rsidRDefault="005D314E" w:rsidP="00576C3D">
      <w:pPr>
        <w:pStyle w:val="friliste4"/>
      </w:pPr>
      <w:r w:rsidRPr="00576C3D">
        <w:t>b)</w:t>
      </w:r>
      <w:r w:rsidRPr="00576C3D">
        <w:tab/>
        <w:t xml:space="preserve">De totale innbakte utslippene i varene nevnt i bokstav a) i dette nummeret, uttrykt i tonn CO2-ekvivalenter som slippes ut per </w:t>
      </w:r>
      <w:proofErr w:type="spellStart"/>
      <w:r w:rsidRPr="00576C3D">
        <w:t>megawattime</w:t>
      </w:r>
      <w:proofErr w:type="spellEnd"/>
      <w:r w:rsidRPr="00576C3D">
        <w:t xml:space="preserve"> elektrisitet eller, for andre varer, i tonn CO2-ekvivalenter som slippes ut per tonn av hver varetype, beregnet i samsvar med artikkel 7 og, der de innbakte utslippene bestemmes på grunnlag av faktiske utslipp, verifisert i samsvar med artikkel 8.</w:t>
      </w:r>
    </w:p>
    <w:p w14:paraId="05D90919" w14:textId="77777777" w:rsidR="005D314E" w:rsidRPr="00576C3D" w:rsidRDefault="005D314E" w:rsidP="00576C3D">
      <w:pPr>
        <w:pStyle w:val="friliste4"/>
      </w:pPr>
      <w:r w:rsidRPr="00576C3D">
        <w:t>c)</w:t>
      </w:r>
      <w:r w:rsidRPr="00576C3D">
        <w:tab/>
        <w:t>Det totale antallet CBAM-sertifikater som skal innleveres, som tilsvarer de totale innbakte utslippene nevnt i bokstav b) i dette nummeret, etter reduksjonen som skal betales på grunn av karbonprisen som er betalt i et tredjeland i samsvar med artikkel 9, og justeringen som er nødvendig for å gjenspeile i hvilken grad EU ETS-kvoter tildeles vederlagsfritt i samsvar med artikkel 31.</w:t>
      </w:r>
    </w:p>
    <w:p w14:paraId="723EB0E3" w14:textId="77777777" w:rsidR="005D314E" w:rsidRPr="00576C3D" w:rsidRDefault="005D314E" w:rsidP="00576C3D">
      <w:pPr>
        <w:pStyle w:val="friliste4"/>
      </w:pPr>
      <w:r w:rsidRPr="00576C3D">
        <w:t>d)</w:t>
      </w:r>
      <w:r w:rsidRPr="00576C3D">
        <w:tab/>
        <w:t xml:space="preserve">Der det er relevant, kopier av verifiseringsrapporter utstedt av akkrediterte </w:t>
      </w:r>
      <w:proofErr w:type="spellStart"/>
      <w:r w:rsidRPr="00576C3D">
        <w:t>verifikatører</w:t>
      </w:r>
      <w:proofErr w:type="spellEnd"/>
      <w:r w:rsidRPr="00576C3D">
        <w:t xml:space="preserve"> i henhold til artikkel 8 og vedlegg VI.».</w:t>
      </w:r>
    </w:p>
    <w:p w14:paraId="6A14E621" w14:textId="77777777" w:rsidR="005D314E" w:rsidRPr="00576C3D" w:rsidRDefault="005D314E" w:rsidP="00576C3D">
      <w:pPr>
        <w:pStyle w:val="friliste2"/>
      </w:pPr>
      <w:r w:rsidRPr="00576C3D">
        <w:t>b)</w:t>
      </w:r>
      <w:r w:rsidRPr="00576C3D">
        <w:tab/>
        <w:t>Nr. 6 skal lyde:</w:t>
      </w:r>
    </w:p>
    <w:p w14:paraId="3ECD6EF5" w14:textId="77777777" w:rsidR="005D314E" w:rsidRPr="00576C3D" w:rsidRDefault="005D314E" w:rsidP="00576C3D">
      <w:pPr>
        <w:pStyle w:val="friliste3"/>
      </w:pPr>
      <w:r w:rsidRPr="00576C3D">
        <w:t>«6.</w:t>
      </w:r>
      <w:r w:rsidRPr="00576C3D">
        <w:tab/>
        <w:t>Kommisjonen gis myndighet til å vedta gjennomføringsrettsakter om standardformatet for CBAM-erklæringen, herunder nærmere opplysninger for hvert anlegg og hvert opprinnelsesland eller annet tredjeland og hver varetype som skal rapporteres, som underbygger de totale mengdene og tallene nevnt i nr. 2 i denne artikkelen, særlig når det gjelder innbakte utslipp, betalt karbonpris, standard karbonpris med henblikk på artikkel 9 nr. 4, framgangsmåten for innsending av CBAM-erklæringen via CBAM-registeret og ordningene for innlevering av CBAM-sertifikatene nevnt i nr. 2 bokstav c) i denne artikkelen, i samsvar med artikkel 22 nr. 1, særlig når det gjelder prosessen og utvelgelsen av sertifikater som skal innleveres av den autoriserte CBAM-</w:t>
      </w:r>
      <w:proofErr w:type="spellStart"/>
      <w:r w:rsidRPr="00576C3D">
        <w:t>deklaranten</w:t>
      </w:r>
      <w:proofErr w:type="spellEnd"/>
      <w:r w:rsidRPr="00576C3D">
        <w:t>. Disse gjennomføringsrettsaktene skal vedtas i samsvar med undersøkelsesprosedyren som det vises til i artikkel 29 nr. 2.».</w:t>
      </w:r>
    </w:p>
    <w:p w14:paraId="6A268737" w14:textId="77777777" w:rsidR="005D314E" w:rsidRPr="00576C3D" w:rsidRDefault="005D314E" w:rsidP="00576C3D">
      <w:pPr>
        <w:pStyle w:val="friliste"/>
      </w:pPr>
      <w:r w:rsidRPr="00576C3D">
        <w:t>6)</w:t>
      </w:r>
      <w:r w:rsidRPr="00576C3D">
        <w:tab/>
        <w:t>I artikkel 7 gjøres følgende endringer:</w:t>
      </w:r>
    </w:p>
    <w:p w14:paraId="631E3D7E" w14:textId="77777777" w:rsidR="005D314E" w:rsidRPr="00576C3D" w:rsidRDefault="005D314E" w:rsidP="00576C3D">
      <w:pPr>
        <w:pStyle w:val="friliste2"/>
      </w:pPr>
      <w:r w:rsidRPr="00576C3D">
        <w:t>a)</w:t>
      </w:r>
      <w:r w:rsidRPr="00576C3D">
        <w:tab/>
        <w:t>Nr. 2 skal lyde:</w:t>
      </w:r>
    </w:p>
    <w:p w14:paraId="1A29F5EC" w14:textId="77777777" w:rsidR="005D314E" w:rsidRPr="00576C3D" w:rsidRDefault="005D314E" w:rsidP="00576C3D">
      <w:pPr>
        <w:pStyle w:val="friliste3"/>
      </w:pPr>
      <w:r w:rsidRPr="00576C3D">
        <w:t>«2.</w:t>
      </w:r>
      <w:r w:rsidRPr="00576C3D">
        <w:tab/>
        <w:t>Innbakte utslipp i andre varer enn elektrisitet skal fastsettes</w:t>
      </w:r>
    </w:p>
    <w:p w14:paraId="56CC2ED5" w14:textId="77777777" w:rsidR="005D314E" w:rsidRPr="00576C3D" w:rsidRDefault="005D314E" w:rsidP="00576C3D">
      <w:pPr>
        <w:pStyle w:val="friliste3"/>
      </w:pPr>
      <w:r w:rsidRPr="00576C3D">
        <w:t>a)</w:t>
      </w:r>
      <w:r w:rsidRPr="00576C3D">
        <w:tab/>
        <w:t>på grunnlag av de faktiske utslippene i samsvar med metodene fastsatt i nr. 2 og 3 i vedlegg IV, eller</w:t>
      </w:r>
    </w:p>
    <w:p w14:paraId="722D81E2" w14:textId="77777777" w:rsidR="005D314E" w:rsidRPr="00576C3D" w:rsidRDefault="005D314E" w:rsidP="00576C3D">
      <w:pPr>
        <w:pStyle w:val="friliste3"/>
      </w:pPr>
      <w:r w:rsidRPr="00576C3D">
        <w:t>b)</w:t>
      </w:r>
      <w:r w:rsidRPr="00576C3D">
        <w:tab/>
        <w:t>med henvisning til standardverdier i samsvar med metodene fastsatt i punkt 4.1 i vedlegg IV.».</w:t>
      </w:r>
    </w:p>
    <w:p w14:paraId="56DCB981" w14:textId="77777777" w:rsidR="005D314E" w:rsidRPr="00576C3D" w:rsidRDefault="005D314E" w:rsidP="00576C3D">
      <w:pPr>
        <w:pStyle w:val="friliste2"/>
      </w:pPr>
      <w:r w:rsidRPr="00576C3D">
        <w:t>b)</w:t>
      </w:r>
      <w:r w:rsidRPr="00576C3D">
        <w:tab/>
        <w:t>Nr. 5 skal lyde:</w:t>
      </w:r>
    </w:p>
    <w:p w14:paraId="6CC5742F" w14:textId="77777777" w:rsidR="005D314E" w:rsidRPr="00576C3D" w:rsidRDefault="005D314E" w:rsidP="00576C3D">
      <w:pPr>
        <w:pStyle w:val="friliste3"/>
      </w:pPr>
      <w:r w:rsidRPr="00576C3D">
        <w:t>«5.</w:t>
      </w:r>
      <w:r w:rsidRPr="00576C3D">
        <w:tab/>
        <w:t>Den autoriserte CBAM-</w:t>
      </w:r>
      <w:proofErr w:type="spellStart"/>
      <w:r w:rsidRPr="00576C3D">
        <w:t>deklaranten</w:t>
      </w:r>
      <w:proofErr w:type="spellEnd"/>
      <w:r w:rsidRPr="00576C3D">
        <w:t xml:space="preserve"> skal oppbevare de opplysningene som er nødvendige for å beregne de innbakte utslippene i samsvar med kravene i vedlegg V. Denne dokumentasjonen skal være tilstrekkelig detaljert til at </w:t>
      </w:r>
      <w:proofErr w:type="spellStart"/>
      <w:r w:rsidRPr="00576C3D">
        <w:t>verifikatører</w:t>
      </w:r>
      <w:proofErr w:type="spellEnd"/>
      <w:r w:rsidRPr="00576C3D">
        <w:t xml:space="preserve"> som er akkreditert i henhold til artikkel 18, der dette er aktuelt, kan kontrollere de innbakte utslippene i samsvar med artikkel 8 og vedlegg VI, og til at Kommisjonen og vedkommende myndighet kan gjennomgå CBAM-erklæringen i samsvar med artikkel 19 nr. 2.».</w:t>
      </w:r>
    </w:p>
    <w:p w14:paraId="6E07259C" w14:textId="77777777" w:rsidR="005D314E" w:rsidRPr="00576C3D" w:rsidRDefault="005D314E" w:rsidP="00576C3D">
      <w:pPr>
        <w:pStyle w:val="friliste2"/>
      </w:pPr>
      <w:r w:rsidRPr="00576C3D">
        <w:t>c)</w:t>
      </w:r>
      <w:r w:rsidRPr="00576C3D">
        <w:tab/>
        <w:t>I nr. 7 skal bokstav a) lyde:</w:t>
      </w:r>
    </w:p>
    <w:p w14:paraId="233AB94D" w14:textId="77777777" w:rsidR="005D314E" w:rsidRPr="00576C3D" w:rsidRDefault="005D314E" w:rsidP="00576C3D">
      <w:pPr>
        <w:pStyle w:val="friliste3"/>
      </w:pPr>
      <w:r w:rsidRPr="00576C3D">
        <w:t>«a)</w:t>
      </w:r>
      <w:r w:rsidRPr="00576C3D">
        <w:tab/>
        <w:t>anvendelsen av elementene i beregningsmetodene fastsatt i vedlegg IV, herunder fastsettelse av systemgrenser for produksjonsprosesser, som skal tilpasses dem som omfattes av EU ETS, og relevante innsatsmaterialer (forløpere), utslippsfaktorer, anleggsspesifikke verdier for faktiske utslipp og standardverdier og deres respektive anvendelse på individuelle varer, samt fastsettelse av metoder for å sikre påliteligheten av data som danner grunnlag for fastsettelse av standardverdiene, herunder detaljnivået for dataene, og herunder ytterligere spesifisering av varer som skal anses som «enkle varer» og «sammensatte varer» med henblikk på vedlegg IV nr. 1. I disse gjennomføringsrettsaktene skal det også angis hvilke elementer av dokumentasjon som godtgjør at kriteriene som kreves for å rettferdiggjøre bruken av faktiske utslipp for importert elektrisitet og for elektrisitet som forbrukes i produksjonsprosessene for varer med henblikk på nr. 2, 3 og 4, og som er oppført i vedlegg IV nr. 5 og 6, er oppfylt, og».</w:t>
      </w:r>
    </w:p>
    <w:p w14:paraId="1EE37A8B" w14:textId="77777777" w:rsidR="005D314E" w:rsidRPr="00576C3D" w:rsidRDefault="005D314E" w:rsidP="00576C3D">
      <w:pPr>
        <w:pStyle w:val="friliste"/>
      </w:pPr>
      <w:r w:rsidRPr="00576C3D">
        <w:t>7)</w:t>
      </w:r>
      <w:r w:rsidRPr="00576C3D">
        <w:tab/>
        <w:t>I artikkel 8 skal nr. 1 lyde:</w:t>
      </w:r>
    </w:p>
    <w:p w14:paraId="17E0E97C" w14:textId="77777777" w:rsidR="005D314E" w:rsidRPr="00576C3D" w:rsidRDefault="005D314E" w:rsidP="00576C3D">
      <w:pPr>
        <w:pStyle w:val="friliste2"/>
      </w:pPr>
      <w:r w:rsidRPr="00576C3D">
        <w:t>«1.</w:t>
      </w:r>
      <w:r w:rsidRPr="00576C3D">
        <w:tab/>
        <w:t>Når de innbakte utslippene fastsettes på grunnlag av faktiske utslipp, skal den autoriserte CBAM-</w:t>
      </w:r>
      <w:proofErr w:type="spellStart"/>
      <w:r w:rsidRPr="00576C3D">
        <w:t>deklaranten</w:t>
      </w:r>
      <w:proofErr w:type="spellEnd"/>
      <w:r w:rsidRPr="00576C3D">
        <w:t xml:space="preserve"> sikre at de samlede innbakte utslippene som er oppgitt i CBAM-erklæringen innsendt i henhold til artikkel 6, verifiseres av en </w:t>
      </w:r>
      <w:proofErr w:type="spellStart"/>
      <w:r w:rsidRPr="00576C3D">
        <w:t>verifikatør</w:t>
      </w:r>
      <w:proofErr w:type="spellEnd"/>
      <w:r w:rsidRPr="00576C3D">
        <w:t xml:space="preserve"> som er akkreditert i henhold til artikkel 18, på grunnlag av verifiseringsprinsippene fastsatt i vedlegg VI.».</w:t>
      </w:r>
    </w:p>
    <w:p w14:paraId="2A69FC5C" w14:textId="77777777" w:rsidR="005D314E" w:rsidRPr="00576C3D" w:rsidRDefault="005D314E" w:rsidP="00576C3D">
      <w:pPr>
        <w:pStyle w:val="friliste"/>
      </w:pPr>
      <w:r w:rsidRPr="00576C3D">
        <w:t>8)</w:t>
      </w:r>
      <w:r w:rsidRPr="00576C3D">
        <w:tab/>
        <w:t>Artikkel 9 skal lyde:</w:t>
      </w:r>
    </w:p>
    <w:p w14:paraId="3F0325BF" w14:textId="77777777" w:rsidR="005D314E" w:rsidRPr="00576C3D" w:rsidRDefault="005D314E" w:rsidP="00576C3D">
      <w:pPr>
        <w:pStyle w:val="Listeavsnitt2"/>
        <w:rPr>
          <w:rStyle w:val="kursiv"/>
        </w:rPr>
      </w:pPr>
      <w:r w:rsidRPr="00576C3D">
        <w:rPr>
          <w:rStyle w:val="kursiv"/>
        </w:rPr>
        <w:t>«Artikkel 9</w:t>
      </w:r>
    </w:p>
    <w:p w14:paraId="76CBDF6F" w14:textId="77777777" w:rsidR="005D314E" w:rsidRPr="00576C3D" w:rsidRDefault="005D314E" w:rsidP="00576C3D">
      <w:pPr>
        <w:pStyle w:val="Listeavsnitt2"/>
        <w:rPr>
          <w:rStyle w:val="halvfet0"/>
        </w:rPr>
      </w:pPr>
      <w:r w:rsidRPr="00576C3D">
        <w:rPr>
          <w:rStyle w:val="halvfet0"/>
        </w:rPr>
        <w:t>Karbonpris betalt i et tredjeland</w:t>
      </w:r>
    </w:p>
    <w:p w14:paraId="0647975E" w14:textId="77777777" w:rsidR="005D314E" w:rsidRPr="00576C3D" w:rsidRDefault="005D314E" w:rsidP="00576C3D">
      <w:pPr>
        <w:pStyle w:val="friliste3"/>
      </w:pPr>
      <w:r w:rsidRPr="00576C3D">
        <w:t>1.</w:t>
      </w:r>
      <w:r w:rsidRPr="00576C3D">
        <w:tab/>
        <w:t>Når de innbakte utslippene fastsettes på grunnlag av faktiske utslipp, kan en autorisert CBAM-</w:t>
      </w:r>
      <w:proofErr w:type="spellStart"/>
      <w:r w:rsidRPr="00576C3D">
        <w:t>deklarant</w:t>
      </w:r>
      <w:proofErr w:type="spellEnd"/>
      <w:r w:rsidRPr="00576C3D">
        <w:t xml:space="preserve"> i CBAM-erklæringen kreve en reduksjon i antall CBAM-sertifikater som skal innleveres, for å ta hensyn til karbonprisen som er betalt i et tredjeland for de innbakte utslippene som er deklarert. Reduksjonen kan bare kreves dersom karbonprisen faktisk er betalt i et tredjeland. I et slikt tilfelle skal det tas hensyn til enhver rabatt eller annen form for kompensasjon som er tilgjengelig i landet, og som ville ha ført til en reduksjon av karbonprisen.</w:t>
      </w:r>
    </w:p>
    <w:p w14:paraId="0386B650" w14:textId="77777777" w:rsidR="005D314E" w:rsidRPr="00576C3D" w:rsidRDefault="005D314E" w:rsidP="00576C3D">
      <w:pPr>
        <w:pStyle w:val="friliste3"/>
      </w:pPr>
      <w:r w:rsidRPr="00576C3D">
        <w:t>2.</w:t>
      </w:r>
      <w:r w:rsidRPr="00576C3D">
        <w:tab/>
        <w:t>Den autoriserte CBAM-</w:t>
      </w:r>
      <w:proofErr w:type="spellStart"/>
      <w:r w:rsidRPr="00576C3D">
        <w:t>deklaranten</w:t>
      </w:r>
      <w:proofErr w:type="spellEnd"/>
      <w:r w:rsidRPr="00576C3D">
        <w:t xml:space="preserve"> skal oppbevare dokumentasjonen som er nødvendig for å godtgjøre at de deklarerte innbakte utslippene var underlagt en karbonpris i et tredjeland for de varene som faktisk er betalt, som nevnt i nr. 1. Den autoriserte CBAM-</w:t>
      </w:r>
      <w:proofErr w:type="spellStart"/>
      <w:r w:rsidRPr="00576C3D">
        <w:t>deklaranten</w:t>
      </w:r>
      <w:proofErr w:type="spellEnd"/>
      <w:r w:rsidRPr="00576C3D">
        <w:t xml:space="preserve"> skal særlig holde dokumentasjon knyttet til enhver rabatt eller annen form for kompensasjon tilgjengelig, særlig henvisninger til lovgivningen i det aktuelle landet. Opplysningene i dokumentasjonen skal sertifiseres av en person som er uavhengig av den autoriserte CBAM-</w:t>
      </w:r>
      <w:proofErr w:type="spellStart"/>
      <w:r w:rsidRPr="00576C3D">
        <w:t>deklaranten</w:t>
      </w:r>
      <w:proofErr w:type="spellEnd"/>
      <w:r w:rsidRPr="00576C3D">
        <w:t xml:space="preserve"> og av myndighetene i tredjelandet. Den uavhengige personens navn og kontaktopplysninger skal være oppført på dokumentasjonen. Den autoriserte CBAM-</w:t>
      </w:r>
      <w:proofErr w:type="spellStart"/>
      <w:r w:rsidRPr="00576C3D">
        <w:t>deklaranten</w:t>
      </w:r>
      <w:proofErr w:type="spellEnd"/>
      <w:r w:rsidRPr="00576C3D">
        <w:t xml:space="preserve"> skal også oppbevare dokumentasjon for den faktiske betalingen av karbonprisen.</w:t>
      </w:r>
    </w:p>
    <w:p w14:paraId="620CC146" w14:textId="77777777" w:rsidR="005D314E" w:rsidRPr="00576C3D" w:rsidRDefault="005D314E" w:rsidP="00576C3D">
      <w:pPr>
        <w:pStyle w:val="friliste3"/>
      </w:pPr>
      <w:r w:rsidRPr="00576C3D">
        <w:t>3.</w:t>
      </w:r>
      <w:r w:rsidRPr="00576C3D">
        <w:tab/>
        <w:t>Den autoriserte CBAM-</w:t>
      </w:r>
      <w:proofErr w:type="spellStart"/>
      <w:r w:rsidRPr="00576C3D">
        <w:t>deklaranten</w:t>
      </w:r>
      <w:proofErr w:type="spellEnd"/>
      <w:r w:rsidRPr="00576C3D">
        <w:t xml:space="preserve"> skal oppbevare dokumentasjonen nevnt i nr. 2 fram til utgangen av det fjerde året etter det året der CBAM-erklæringen ble eller burde ha blitt innsendt.</w:t>
      </w:r>
    </w:p>
    <w:p w14:paraId="1E5F8CB3" w14:textId="77777777" w:rsidR="005D314E" w:rsidRPr="00576C3D" w:rsidRDefault="005D314E" w:rsidP="00576C3D">
      <w:pPr>
        <w:pStyle w:val="friliste3"/>
      </w:pPr>
      <w:r w:rsidRPr="00576C3D">
        <w:t>4.</w:t>
      </w:r>
      <w:r w:rsidRPr="00576C3D">
        <w:tab/>
        <w:t>Som unntak fra nr. 1, 2 og 3 kan en autorisert CBAM-</w:t>
      </w:r>
      <w:proofErr w:type="spellStart"/>
      <w:r w:rsidRPr="00576C3D">
        <w:t>deklarant</w:t>
      </w:r>
      <w:proofErr w:type="spellEnd"/>
      <w:r w:rsidRPr="00576C3D">
        <w:t xml:space="preserve"> i CBAM-erklæringen kreve en reduksjon i antall CBAM-sertifikater som skal innleveres, for å ta hensyn til karbonprisen som er betalt for de innbakte utslippene som er deklarert, med henvisning til de årlige standardkarbonprisene. I et slikt tilfelle skal det tas hensyn til enhver rabatt eller annen form for kompensasjon som er tilgjengelig i landet, og som ville ha ført til en reduksjon av standardkarbonprisen. Reduksjonen kan bare kreves dersom en karbonpris ble fastsatt ved gjeldende regler i tredjelandet, og en årlig standardkarbonpris kan fastsettes, også på et konservativt grunnlag, for det aktuelle tredjelandet. Når de innbakte utslippene bestemmes på grunnlag av standardverdier, kan en reduksjon bare kreves med henvisning til årlige standardkarbonpriser.</w:t>
      </w:r>
    </w:p>
    <w:p w14:paraId="52A56294" w14:textId="77777777" w:rsidR="005D314E" w:rsidRPr="00576C3D" w:rsidRDefault="005D314E" w:rsidP="00576C3D">
      <w:pPr>
        <w:pStyle w:val="Listeavsnitt2"/>
      </w:pPr>
      <w:r w:rsidRPr="00576C3D">
        <w:t>Fra og med 2027 kan Kommisjonen, for tredjeland der regler for karbonprising er på plass, fastsette og gjøre tilgjengelig i CBAM-registeret nevnt i artikkel 14 standardkarbonprisene for disse tredjelandene og offentliggjøre metodikken for beregningen av dem. Kommisjonen skal gjøre dette på grunnlag av de beste tilgjengelige dataene fra pålitelige, offentlig tilgjengelige opplysninger og opplysninger fra disse tredjelandene. Kommisjonen skal ta hensyn til enhver rabatt eller annen form for kompensasjon som er tilgjengelig i det aktuelle tredjelandet, og som ville ha ført til en reduksjon av standardkarbonprisen.</w:t>
      </w:r>
    </w:p>
    <w:p w14:paraId="2DC3A068" w14:textId="77777777" w:rsidR="005D314E" w:rsidRPr="00576C3D" w:rsidRDefault="005D314E" w:rsidP="00576C3D">
      <w:pPr>
        <w:pStyle w:val="friliste2"/>
      </w:pPr>
      <w:r w:rsidRPr="00576C3D">
        <w:t>5.</w:t>
      </w:r>
      <w:r w:rsidRPr="00576C3D">
        <w:tab/>
        <w:t xml:space="preserve">Kommisjonen gis myndighet til å vedta gjennomføringsrettsakter om omregning av den årlige gjennomsnittlige karbonprisen som faktisk er betalt i samsvar med nr. 1, og de årlige standardkarbonprisene fastsatt i samsvar med nr. 4, til en tilsvarende reduksjon av antall CBAM-sertifikater som skal innleveres. Disse rettsaktene skal også regulere omregning av karbonprisen uttrykt i utenlandsk valuta til euro med den årlige gjennomsnittlige valutakursen, dokumentasjonen som kreves for at karbonprisen faktisk er betalt, eksempler på enhver relevant rabatt eller annen form for kompensasjon nevnt i nr. 1 i denne artikkelen, kvalifikasjonene til den uavhengige personen nevnt i nr. 2 i denne artikkelen og vilkårene for å fastslå </w:t>
      </w:r>
      <w:proofErr w:type="spellStart"/>
      <w:r w:rsidRPr="00576C3D">
        <w:t>vedkommendes</w:t>
      </w:r>
      <w:proofErr w:type="spellEnd"/>
      <w:r w:rsidRPr="00576C3D">
        <w:t xml:space="preserve"> uavhengighet. Disse gjennomføringsrettsaktene skal vedtas i samsvar med undersøkelsesprosedyren som det vises til i artikkel 29 nr. 2.».</w:t>
      </w:r>
    </w:p>
    <w:p w14:paraId="44ED8B0D" w14:textId="77777777" w:rsidR="005D314E" w:rsidRPr="00576C3D" w:rsidRDefault="005D314E" w:rsidP="00576C3D">
      <w:pPr>
        <w:pStyle w:val="friliste"/>
      </w:pPr>
      <w:r w:rsidRPr="00576C3D">
        <w:t>9)</w:t>
      </w:r>
      <w:r w:rsidRPr="00576C3D">
        <w:tab/>
        <w:t>Artikkel 10 skal lyde:</w:t>
      </w:r>
    </w:p>
    <w:p w14:paraId="67FC4052" w14:textId="77777777" w:rsidR="005D314E" w:rsidRPr="00576C3D" w:rsidRDefault="005D314E" w:rsidP="00576C3D">
      <w:pPr>
        <w:pStyle w:val="Listeavsnitt"/>
        <w:rPr>
          <w:rStyle w:val="kursiv"/>
        </w:rPr>
      </w:pPr>
      <w:r w:rsidRPr="00576C3D">
        <w:rPr>
          <w:rStyle w:val="kursiv"/>
        </w:rPr>
        <w:t>«Artikkel 10</w:t>
      </w:r>
    </w:p>
    <w:p w14:paraId="533C7862" w14:textId="77777777" w:rsidR="005D314E" w:rsidRPr="00576C3D" w:rsidRDefault="005D314E" w:rsidP="00576C3D">
      <w:pPr>
        <w:pStyle w:val="Listeavsnitt"/>
        <w:rPr>
          <w:rStyle w:val="halvfet0"/>
        </w:rPr>
      </w:pPr>
      <w:r w:rsidRPr="00576C3D">
        <w:rPr>
          <w:rStyle w:val="halvfet0"/>
        </w:rPr>
        <w:t>Registrering av operatører og av anlegg i tredjeland</w:t>
      </w:r>
    </w:p>
    <w:p w14:paraId="51E32556" w14:textId="77777777" w:rsidR="005D314E" w:rsidRPr="00576C3D" w:rsidRDefault="005D314E" w:rsidP="00576C3D">
      <w:pPr>
        <w:pStyle w:val="friliste2"/>
      </w:pPr>
      <w:r w:rsidRPr="00576C3D">
        <w:t>1.</w:t>
      </w:r>
      <w:r w:rsidRPr="00576C3D">
        <w:tab/>
        <w:t>Kommisjonen skal på anmodning fra en operatør av et anlegg i et tredjeland registrere opplysningene om operatøren og om anlegget i CBAM-registeret nevnt i artikkel 14.</w:t>
      </w:r>
    </w:p>
    <w:p w14:paraId="121C3700" w14:textId="77777777" w:rsidR="005D314E" w:rsidRPr="00576C3D" w:rsidRDefault="005D314E" w:rsidP="00576C3D">
      <w:pPr>
        <w:pStyle w:val="friliste2"/>
      </w:pPr>
      <w:r w:rsidRPr="00576C3D">
        <w:t>2.</w:t>
      </w:r>
      <w:r w:rsidRPr="00576C3D">
        <w:tab/>
        <w:t>Anmodningen om registrering i henhold til nr. 1 skal inneholde følgende opplysninger som skal inngå i CBAM-registeret ved registrering:</w:t>
      </w:r>
    </w:p>
    <w:p w14:paraId="5F76BDE9" w14:textId="77777777" w:rsidR="005D314E" w:rsidRPr="00576C3D" w:rsidRDefault="005D314E" w:rsidP="00576C3D">
      <w:pPr>
        <w:pStyle w:val="friliste3"/>
      </w:pPr>
      <w:r w:rsidRPr="00576C3D">
        <w:t>a)</w:t>
      </w:r>
      <w:r w:rsidRPr="00576C3D">
        <w:tab/>
        <w:t>Navn, adresse, organisasjons- eller aktivitetsregistreringsnummer og kontaktopplysninger for operatøren og, dersom det er relevant, for dennes kontrollerende enheter, inkludert morselskapet til denne operatøren, sammen med støttedokumenter.</w:t>
      </w:r>
    </w:p>
    <w:p w14:paraId="69607559" w14:textId="77777777" w:rsidR="005D314E" w:rsidRPr="00576C3D" w:rsidRDefault="005D314E" w:rsidP="00576C3D">
      <w:pPr>
        <w:pStyle w:val="friliste3"/>
      </w:pPr>
      <w:r w:rsidRPr="00576C3D">
        <w:t>b)</w:t>
      </w:r>
      <w:r w:rsidRPr="00576C3D">
        <w:tab/>
        <w:t>Plasseringen av hvert anlegg, herunder den fullstendige adressen og de geografiske koordinatene, uttrykt i lengdegrad og breddegrad, med seks desimaler.</w:t>
      </w:r>
    </w:p>
    <w:p w14:paraId="3482D224" w14:textId="77777777" w:rsidR="005D314E" w:rsidRPr="00576C3D" w:rsidRDefault="005D314E" w:rsidP="00576C3D">
      <w:pPr>
        <w:pStyle w:val="friliste3"/>
      </w:pPr>
      <w:r w:rsidRPr="00576C3D">
        <w:t>c)</w:t>
      </w:r>
      <w:r w:rsidRPr="00576C3D">
        <w:tab/>
        <w:t>Anleggets viktigste økonomiske aktivitet.</w:t>
      </w:r>
    </w:p>
    <w:p w14:paraId="19C47DC1" w14:textId="77777777" w:rsidR="005D314E" w:rsidRPr="00576C3D" w:rsidRDefault="005D314E" w:rsidP="00576C3D">
      <w:pPr>
        <w:pStyle w:val="friliste2"/>
      </w:pPr>
      <w:r w:rsidRPr="00576C3D">
        <w:t>3.</w:t>
      </w:r>
      <w:r w:rsidRPr="00576C3D">
        <w:tab/>
        <w:t>Kommisjonen skal underrette operatøren om registreringen i CBAM-registeret. Registreringen skal være gyldig i et tidsrom på fem år fra datoen for melding til operatøren for anlegget.</w:t>
      </w:r>
    </w:p>
    <w:p w14:paraId="22192451" w14:textId="77777777" w:rsidR="005D314E" w:rsidRPr="00576C3D" w:rsidRDefault="005D314E" w:rsidP="00576C3D">
      <w:pPr>
        <w:pStyle w:val="friliste2"/>
      </w:pPr>
      <w:r w:rsidRPr="00576C3D">
        <w:t>4.</w:t>
      </w:r>
      <w:r w:rsidRPr="00576C3D">
        <w:tab/>
        <w:t>Operatøren skal uten opphold underrette Kommisjonen om eventuelle endringer av opplysningene nevnt i nr. 2 foretatt etter registreringen, og Kommisjonen skal oppdatere de relevante opplysningene i CBAM-registeret.</w:t>
      </w:r>
    </w:p>
    <w:p w14:paraId="3992EAAD" w14:textId="77777777" w:rsidR="005D314E" w:rsidRPr="00576C3D" w:rsidRDefault="005D314E" w:rsidP="00576C3D">
      <w:pPr>
        <w:pStyle w:val="friliste2"/>
      </w:pPr>
      <w:r w:rsidRPr="00576C3D">
        <w:t>5.</w:t>
      </w:r>
      <w:r w:rsidRPr="00576C3D">
        <w:tab/>
        <w:t>Operatøren skal</w:t>
      </w:r>
    </w:p>
    <w:p w14:paraId="5441D1FA" w14:textId="77777777" w:rsidR="005D314E" w:rsidRPr="00576C3D" w:rsidRDefault="005D314E" w:rsidP="00576C3D">
      <w:pPr>
        <w:pStyle w:val="friliste3"/>
      </w:pPr>
      <w:r w:rsidRPr="00576C3D">
        <w:t>a)</w:t>
      </w:r>
      <w:r w:rsidRPr="00576C3D">
        <w:tab/>
        <w:t>bestemme de innbakte utslippene beregnet i samsvar med metodene fastsatt i vedlegg IV, etter type varer produsert ved anlegget nevnt i nr. 1 i denne artikkelen,</w:t>
      </w:r>
    </w:p>
    <w:p w14:paraId="7C214992" w14:textId="77777777" w:rsidR="005D314E" w:rsidRPr="00576C3D" w:rsidRDefault="005D314E" w:rsidP="00576C3D">
      <w:pPr>
        <w:pStyle w:val="friliste3"/>
      </w:pPr>
      <w:r w:rsidRPr="00576C3D">
        <w:t>b)</w:t>
      </w:r>
      <w:r w:rsidRPr="00576C3D">
        <w:tab/>
        <w:t xml:space="preserve">sikre at de innbakte utslippene omhandlet i bokstav a) i dette nummer verifiseres i samsvar med verifiseringsprinsippene i vedlegg VI av en </w:t>
      </w:r>
      <w:proofErr w:type="spellStart"/>
      <w:r w:rsidRPr="00576C3D">
        <w:t>verifikatør</w:t>
      </w:r>
      <w:proofErr w:type="spellEnd"/>
      <w:r w:rsidRPr="00576C3D">
        <w:t xml:space="preserve"> som er akkreditert i henhold til artikkel 18,</w:t>
      </w:r>
    </w:p>
    <w:p w14:paraId="24105981" w14:textId="77777777" w:rsidR="005D314E" w:rsidRPr="00576C3D" w:rsidRDefault="005D314E" w:rsidP="00576C3D">
      <w:pPr>
        <w:pStyle w:val="friliste3"/>
      </w:pPr>
      <w:r w:rsidRPr="00576C3D">
        <w:t>c)</w:t>
      </w:r>
      <w:r w:rsidRPr="00576C3D">
        <w:tab/>
        <w:t>oppbevare en kopi av verifiseringsrapporten samt registre over opplysningene som kreves for å beregne de innbakte utslippene i varer i samsvar med kravene fastsatt i vedlegg V i et tidsrom på fire år etter at verifiseringen er utført, og, dersom det er relevant, en kopi av dokumentasjonen som kreves for å godtgjøre at de deklarerte innbakte utslippene var underlagt en karbonpris i et tredjeland som faktisk er betalt, frem til utgangen av det fjerde året etter det året den uavhengige personen har sertifisert opplysningene i dokumentasjonen i samsvar med artikkel 9 nr. 2,</w:t>
      </w:r>
    </w:p>
    <w:p w14:paraId="22468042" w14:textId="77777777" w:rsidR="005D314E" w:rsidRPr="00576C3D" w:rsidRDefault="005D314E" w:rsidP="00576C3D">
      <w:pPr>
        <w:pStyle w:val="friliste3"/>
      </w:pPr>
      <w:r w:rsidRPr="00576C3D">
        <w:t>d)</w:t>
      </w:r>
      <w:r w:rsidRPr="00576C3D">
        <w:tab/>
        <w:t>fastsette, dersom det er relevant, karbonprisen som er betalt i et tredjeland i samsvar med artikkel 9, og laste opp medfølgende dokumentasjon og bevis.</w:t>
      </w:r>
    </w:p>
    <w:p w14:paraId="05B32804" w14:textId="77777777" w:rsidR="005D314E" w:rsidRPr="00576C3D" w:rsidRDefault="005D314E" w:rsidP="00576C3D">
      <w:pPr>
        <w:pStyle w:val="friliste2"/>
      </w:pPr>
      <w:r w:rsidRPr="00576C3D">
        <w:t>6.</w:t>
      </w:r>
      <w:r w:rsidRPr="00576C3D">
        <w:tab/>
        <w:t>Registrene nevnt i nr. 5 bokstav c) i denne artikkelen skal være tilstrekkelig detaljerte til å muliggjøre verifisering av de innbakte utslippene i samsvar med artikkel 8 og vedlegg VI, og til å muliggjøre gjennomgang, i samsvar med artikkel 19, av CBAM-erklæringen som er framlagt av en autorisert CBAM-</w:t>
      </w:r>
      <w:proofErr w:type="spellStart"/>
      <w:r w:rsidRPr="00576C3D">
        <w:t>deklarant</w:t>
      </w:r>
      <w:proofErr w:type="spellEnd"/>
      <w:r w:rsidRPr="00576C3D">
        <w:t xml:space="preserve"> som de relevante opplysningene ble utlevert til i samsvar med nr. 7 i denne artikkelen.</w:t>
      </w:r>
    </w:p>
    <w:p w14:paraId="4512D23B" w14:textId="77777777" w:rsidR="005D314E" w:rsidRPr="00576C3D" w:rsidRDefault="005D314E" w:rsidP="00576C3D">
      <w:pPr>
        <w:pStyle w:val="friliste2"/>
      </w:pPr>
      <w:r w:rsidRPr="00576C3D">
        <w:t>7.</w:t>
      </w:r>
      <w:r w:rsidRPr="00576C3D">
        <w:tab/>
        <w:t>En operatør kan offentliggjøre opplysningene nevnt i nr. 5 i denne artikkelen om verifiseringen av innbakte utslipp og karbonprisen som er betalt i et tredjeland, til en autorisert CBAM-</w:t>
      </w:r>
      <w:proofErr w:type="spellStart"/>
      <w:r w:rsidRPr="00576C3D">
        <w:t>deklarant</w:t>
      </w:r>
      <w:proofErr w:type="spellEnd"/>
      <w:r w:rsidRPr="00576C3D">
        <w:t>. Den autoriserte CBAM-</w:t>
      </w:r>
      <w:proofErr w:type="spellStart"/>
      <w:r w:rsidRPr="00576C3D">
        <w:t>deklaranten</w:t>
      </w:r>
      <w:proofErr w:type="spellEnd"/>
      <w:r w:rsidRPr="00576C3D">
        <w:t xml:space="preserve"> skal ha rett til å bruke den utleverte informasjonen for å oppfylle forpliktelsen nevnt i artikkel 8.</w:t>
      </w:r>
    </w:p>
    <w:p w14:paraId="7E1804C9" w14:textId="77777777" w:rsidR="005D314E" w:rsidRPr="00576C3D" w:rsidRDefault="005D314E" w:rsidP="00576C3D">
      <w:pPr>
        <w:pStyle w:val="friliste2"/>
      </w:pPr>
      <w:r w:rsidRPr="00576C3D">
        <w:t>8.</w:t>
      </w:r>
      <w:r w:rsidRPr="00576C3D">
        <w:tab/>
        <w:t>Operatøren kan når som helst be om å bli avregistrert fra CBAM-registeret. Kommisjonen skal på en slik anmodning og etter å ha underrettet vedkommende myndigheter avregistrere operatøren og slette opplysningene i CBAM-registeret om vedkommende operatør og om anlegget, forutsatt at slike opplysninger ikke er nødvendige for gjennomgangen av CBAM-erklæringene som er innsendt. Kommisjonen kan, etter å ha gitt den berørte operatøren mulighet til å bli hørt og etter å ha rådført seg med de aktuelle vedkommende myndigheter, også avregistrere opplysningene dersom Kommisjonen finner at opplysningene om vedkommende operatør ikke lenger er nøyaktige. Kommisjonen skal underrette vedkommende myndigheter om slike avregistreringer.».</w:t>
      </w:r>
    </w:p>
    <w:p w14:paraId="7A7C8DAD" w14:textId="77777777" w:rsidR="005D314E" w:rsidRPr="00576C3D" w:rsidRDefault="005D314E" w:rsidP="00576C3D">
      <w:pPr>
        <w:pStyle w:val="friliste"/>
      </w:pPr>
      <w:r w:rsidRPr="00576C3D">
        <w:t>10)</w:t>
      </w:r>
      <w:r w:rsidRPr="00576C3D">
        <w:tab/>
        <w:t>Følgende artikkel innsettes:</w:t>
      </w:r>
    </w:p>
    <w:p w14:paraId="17540D07" w14:textId="77777777" w:rsidR="005D314E" w:rsidRPr="00576C3D" w:rsidRDefault="005D314E" w:rsidP="00576C3D">
      <w:pPr>
        <w:pStyle w:val="Listeavsnitt"/>
        <w:rPr>
          <w:rStyle w:val="kursiv"/>
        </w:rPr>
      </w:pPr>
      <w:r w:rsidRPr="00576C3D">
        <w:rPr>
          <w:rStyle w:val="kursiv"/>
        </w:rPr>
        <w:t>«Artikkel 10a</w:t>
      </w:r>
    </w:p>
    <w:p w14:paraId="0E847DAB" w14:textId="77777777" w:rsidR="005D314E" w:rsidRPr="00576C3D" w:rsidRDefault="005D314E" w:rsidP="00576C3D">
      <w:pPr>
        <w:pStyle w:val="Listeavsnitt"/>
        <w:rPr>
          <w:rStyle w:val="halvfet0"/>
        </w:rPr>
      </w:pPr>
      <w:r w:rsidRPr="00576C3D">
        <w:rPr>
          <w:rStyle w:val="halvfet0"/>
        </w:rPr>
        <w:t xml:space="preserve">Registrering av akkrediterte </w:t>
      </w:r>
      <w:proofErr w:type="spellStart"/>
      <w:r w:rsidRPr="00576C3D">
        <w:rPr>
          <w:rStyle w:val="halvfet0"/>
        </w:rPr>
        <w:t>verifikatører</w:t>
      </w:r>
      <w:proofErr w:type="spellEnd"/>
    </w:p>
    <w:p w14:paraId="0BD5BE79" w14:textId="77777777" w:rsidR="005D314E" w:rsidRPr="00576C3D" w:rsidRDefault="005D314E" w:rsidP="00576C3D">
      <w:pPr>
        <w:pStyle w:val="friliste2"/>
      </w:pPr>
      <w:r w:rsidRPr="00576C3D">
        <w:t>1.</w:t>
      </w:r>
      <w:r w:rsidRPr="00576C3D">
        <w:tab/>
        <w:t xml:space="preserve">Når det gis en akkreditering i samsvar med artikkel 18, skal </w:t>
      </w:r>
      <w:proofErr w:type="spellStart"/>
      <w:r w:rsidRPr="00576C3D">
        <w:t>verifikatøren</w:t>
      </w:r>
      <w:proofErr w:type="spellEnd"/>
      <w:r w:rsidRPr="00576C3D">
        <w:t xml:space="preserve"> fremme en anmodning om registrering i CBAM-registeret til vedkommende myndighet i medlemsstaten der det nasjonale akkrediteringsorganet er etablert. </w:t>
      </w:r>
      <w:proofErr w:type="spellStart"/>
      <w:r w:rsidRPr="00576C3D">
        <w:t>Verifikatøren</w:t>
      </w:r>
      <w:proofErr w:type="spellEnd"/>
      <w:r w:rsidRPr="00576C3D">
        <w:t xml:space="preserve"> skal fremme anmodning om registrering innen to måneder etter at akkrediteringen ble gitt, men ikke før 1. september 2026. Vedkommende myndighet skal registrere opplysningene om den akkrediterte </w:t>
      </w:r>
      <w:proofErr w:type="spellStart"/>
      <w:r w:rsidRPr="00576C3D">
        <w:t>verifikatøren</w:t>
      </w:r>
      <w:proofErr w:type="spellEnd"/>
      <w:r w:rsidRPr="00576C3D">
        <w:t xml:space="preserve"> i CBAM-registeret.</w:t>
      </w:r>
    </w:p>
    <w:p w14:paraId="21F8E806" w14:textId="77777777" w:rsidR="005D314E" w:rsidRPr="00576C3D" w:rsidRDefault="005D314E" w:rsidP="00576C3D">
      <w:pPr>
        <w:pStyle w:val="friliste2"/>
      </w:pPr>
      <w:r w:rsidRPr="00576C3D">
        <w:t>2.</w:t>
      </w:r>
      <w:r w:rsidRPr="00576C3D">
        <w:tab/>
        <w:t>Anmodningen om registrering i CBAM-registeret i henhold til nr. 1 skal minst inneholde følgende opplysninger:</w:t>
      </w:r>
    </w:p>
    <w:p w14:paraId="64E9ED44" w14:textId="77777777" w:rsidR="005D314E" w:rsidRPr="00576C3D" w:rsidRDefault="005D314E" w:rsidP="00576C3D">
      <w:pPr>
        <w:pStyle w:val="friliste3"/>
      </w:pPr>
      <w:r w:rsidRPr="00576C3D">
        <w:t>a)</w:t>
      </w:r>
      <w:r w:rsidRPr="00576C3D">
        <w:tab/>
      </w:r>
      <w:proofErr w:type="spellStart"/>
      <w:r w:rsidRPr="00576C3D">
        <w:t>Verifikatørens</w:t>
      </w:r>
      <w:proofErr w:type="spellEnd"/>
      <w:r w:rsidRPr="00576C3D">
        <w:t xml:space="preserve"> navn og unike identifikasjonsnummer for akkreditering.</w:t>
      </w:r>
    </w:p>
    <w:p w14:paraId="7D4047A7" w14:textId="77777777" w:rsidR="005D314E" w:rsidRPr="00576C3D" w:rsidRDefault="005D314E" w:rsidP="00576C3D">
      <w:pPr>
        <w:pStyle w:val="friliste3"/>
      </w:pPr>
      <w:r w:rsidRPr="00576C3D">
        <w:t>b)</w:t>
      </w:r>
      <w:r w:rsidRPr="00576C3D">
        <w:tab/>
        <w:t>Ethvert akkrediteringsområde som er relevant for CBAM.</w:t>
      </w:r>
    </w:p>
    <w:p w14:paraId="2609DED6" w14:textId="77777777" w:rsidR="005D314E" w:rsidRPr="00576C3D" w:rsidRDefault="005D314E" w:rsidP="00576C3D">
      <w:pPr>
        <w:pStyle w:val="friliste3"/>
      </w:pPr>
      <w:r w:rsidRPr="00576C3D">
        <w:t>c)</w:t>
      </w:r>
      <w:r w:rsidRPr="00576C3D">
        <w:tab/>
        <w:t xml:space="preserve">Landet der </w:t>
      </w:r>
      <w:proofErr w:type="spellStart"/>
      <w:r w:rsidRPr="00576C3D">
        <w:t>verifikatøren</w:t>
      </w:r>
      <w:proofErr w:type="spellEnd"/>
      <w:r w:rsidRPr="00576C3D">
        <w:t xml:space="preserve"> er etablert.</w:t>
      </w:r>
    </w:p>
    <w:p w14:paraId="63B6734F" w14:textId="77777777" w:rsidR="005D314E" w:rsidRPr="00576C3D" w:rsidRDefault="005D314E" w:rsidP="00576C3D">
      <w:pPr>
        <w:pStyle w:val="friliste3"/>
      </w:pPr>
      <w:r w:rsidRPr="00576C3D">
        <w:t>d)</w:t>
      </w:r>
      <w:r w:rsidRPr="00576C3D">
        <w:tab/>
        <w:t>Datoen der akkrediteringen trer i kraft og utløpsdato for akkrediteringssertifikatene som er relevante for CBAM.</w:t>
      </w:r>
    </w:p>
    <w:p w14:paraId="6972870C" w14:textId="77777777" w:rsidR="005D314E" w:rsidRPr="00576C3D" w:rsidRDefault="005D314E" w:rsidP="00576C3D">
      <w:pPr>
        <w:pStyle w:val="friliste3"/>
      </w:pPr>
      <w:r w:rsidRPr="00576C3D">
        <w:t>e)</w:t>
      </w:r>
      <w:r w:rsidRPr="00576C3D">
        <w:tab/>
        <w:t xml:space="preserve">Eventuelle opplysninger om administrative tiltak som </w:t>
      </w:r>
      <w:proofErr w:type="spellStart"/>
      <w:r w:rsidRPr="00576C3D">
        <w:t>verifikatøren</w:t>
      </w:r>
      <w:proofErr w:type="spellEnd"/>
      <w:r w:rsidRPr="00576C3D">
        <w:t xml:space="preserve"> er pålagt og som er relevante for CBAM.</w:t>
      </w:r>
    </w:p>
    <w:p w14:paraId="69B3C008" w14:textId="77777777" w:rsidR="005D314E" w:rsidRPr="00576C3D" w:rsidRDefault="005D314E" w:rsidP="00576C3D">
      <w:pPr>
        <w:pStyle w:val="friliste3"/>
      </w:pPr>
      <w:r w:rsidRPr="00576C3D">
        <w:t>f)</w:t>
      </w:r>
      <w:r w:rsidRPr="00576C3D">
        <w:tab/>
        <w:t>Kopi av akkrediteringssertifikatet som er relevant for CBAM.</w:t>
      </w:r>
    </w:p>
    <w:p w14:paraId="2FDAE998" w14:textId="77777777" w:rsidR="005D314E" w:rsidRPr="00576C3D" w:rsidRDefault="005D314E" w:rsidP="00576C3D">
      <w:pPr>
        <w:pStyle w:val="Listeavsnitt2"/>
      </w:pPr>
      <w:r w:rsidRPr="00576C3D">
        <w:t xml:space="preserve">Opplysningene nevnt i første ledd skal tas med i CBAM-registeret ved registrering av </w:t>
      </w:r>
      <w:proofErr w:type="spellStart"/>
      <w:r w:rsidRPr="00576C3D">
        <w:t>verifikatøren</w:t>
      </w:r>
      <w:proofErr w:type="spellEnd"/>
      <w:r w:rsidRPr="00576C3D">
        <w:t>.</w:t>
      </w:r>
    </w:p>
    <w:p w14:paraId="7C403B44" w14:textId="77777777" w:rsidR="005D314E" w:rsidRPr="00576C3D" w:rsidRDefault="005D314E" w:rsidP="00576C3D">
      <w:pPr>
        <w:pStyle w:val="friliste2"/>
      </w:pPr>
      <w:r w:rsidRPr="00576C3D">
        <w:t>3.</w:t>
      </w:r>
      <w:r w:rsidRPr="00576C3D">
        <w:tab/>
        <w:t xml:space="preserve">Vedkommende myndighet skal underrette </w:t>
      </w:r>
      <w:proofErr w:type="spellStart"/>
      <w:r w:rsidRPr="00576C3D">
        <w:t>verifikatøren</w:t>
      </w:r>
      <w:proofErr w:type="spellEnd"/>
      <w:r w:rsidRPr="00576C3D">
        <w:t xml:space="preserve"> om registreringen i CBAM-registeret. Vedkommende myndighet skal også gjennom CBAM-registeret underrette Kommisjonen og de øvrige vedkommende myndigheter om registreringen.</w:t>
      </w:r>
    </w:p>
    <w:p w14:paraId="472E91BE" w14:textId="77777777" w:rsidR="005D314E" w:rsidRPr="00576C3D" w:rsidRDefault="005D314E" w:rsidP="00576C3D">
      <w:pPr>
        <w:pStyle w:val="friliste2"/>
      </w:pPr>
      <w:r w:rsidRPr="00576C3D">
        <w:t>4.</w:t>
      </w:r>
      <w:r w:rsidRPr="00576C3D">
        <w:tab/>
      </w:r>
      <w:proofErr w:type="spellStart"/>
      <w:r w:rsidRPr="00576C3D">
        <w:t>Verifikatøren</w:t>
      </w:r>
      <w:proofErr w:type="spellEnd"/>
      <w:r w:rsidRPr="00576C3D">
        <w:t xml:space="preserve"> skal underrette vedkommende myndighet om eventuelle endringer i opplysningene nevnt i nr. 2 som oppstår etter registreringen i CBAM-registeret. Vedkommende myndighet skal sikre at CBAM-registeret oppdateres tilsvarende.</w:t>
      </w:r>
    </w:p>
    <w:p w14:paraId="609A118B" w14:textId="77777777" w:rsidR="005D314E" w:rsidRPr="00576C3D" w:rsidRDefault="005D314E" w:rsidP="00576C3D">
      <w:pPr>
        <w:pStyle w:val="friliste2"/>
      </w:pPr>
      <w:r w:rsidRPr="00576C3D">
        <w:t>5.</w:t>
      </w:r>
      <w:r w:rsidRPr="00576C3D">
        <w:tab/>
        <w:t xml:space="preserve">Med henblikk på artikkel 10 nr. 5 bokstav b) skal </w:t>
      </w:r>
      <w:proofErr w:type="spellStart"/>
      <w:r w:rsidRPr="00576C3D">
        <w:t>verifikatøren</w:t>
      </w:r>
      <w:proofErr w:type="spellEnd"/>
      <w:r w:rsidRPr="00576C3D">
        <w:t xml:space="preserve"> bruke CBAM-registeret til å verifisere de innbakte utslippene.</w:t>
      </w:r>
    </w:p>
    <w:p w14:paraId="119FF470" w14:textId="77777777" w:rsidR="005D314E" w:rsidRPr="00576C3D" w:rsidRDefault="005D314E" w:rsidP="00576C3D">
      <w:pPr>
        <w:pStyle w:val="friliste2"/>
      </w:pPr>
      <w:r w:rsidRPr="00576C3D">
        <w:t>6.</w:t>
      </w:r>
      <w:r w:rsidRPr="00576C3D">
        <w:tab/>
        <w:t xml:space="preserve">Vedkommende myndighet skal avregistrere en </w:t>
      </w:r>
      <w:proofErr w:type="spellStart"/>
      <w:r w:rsidRPr="00576C3D">
        <w:t>verifikatør</w:t>
      </w:r>
      <w:proofErr w:type="spellEnd"/>
      <w:r w:rsidRPr="00576C3D">
        <w:t xml:space="preserve"> fra CBAM-registeret dersom </w:t>
      </w:r>
      <w:proofErr w:type="spellStart"/>
      <w:r w:rsidRPr="00576C3D">
        <w:t>verifikatøren</w:t>
      </w:r>
      <w:proofErr w:type="spellEnd"/>
      <w:r w:rsidRPr="00576C3D">
        <w:t xml:space="preserve"> ikke lenger er akkreditert i henhold til artikkel 18, eller dersom </w:t>
      </w:r>
      <w:proofErr w:type="spellStart"/>
      <w:r w:rsidRPr="00576C3D">
        <w:t>verifikatøren</w:t>
      </w:r>
      <w:proofErr w:type="spellEnd"/>
      <w:r w:rsidRPr="00576C3D">
        <w:t xml:space="preserve"> ikke har oppfylt forpliktelsen fastsatt i nr. 4 i denne artikkel. Vedkommende myndighet skal underrette Kommisjonen og de øvrige vedkommende myndigheter om avregistreringen. Vedkommende myndighet skal slette opplysningene i CBAM-registeret om den akkrediterte </w:t>
      </w:r>
      <w:proofErr w:type="spellStart"/>
      <w:r w:rsidRPr="00576C3D">
        <w:t>verifikatøren</w:t>
      </w:r>
      <w:proofErr w:type="spellEnd"/>
      <w:r w:rsidRPr="00576C3D">
        <w:t>, forutsatt at slike opplysninger ikke er nødvendige for gjennomgangen av CBAM-erklæringene som er innsendt.».</w:t>
      </w:r>
    </w:p>
    <w:p w14:paraId="40713897" w14:textId="77777777" w:rsidR="005D314E" w:rsidRPr="00576C3D" w:rsidRDefault="005D314E" w:rsidP="00576C3D">
      <w:pPr>
        <w:pStyle w:val="friliste"/>
      </w:pPr>
      <w:r w:rsidRPr="00576C3D">
        <w:t>11)</w:t>
      </w:r>
      <w:r w:rsidRPr="00576C3D">
        <w:tab/>
        <w:t>I artikkel 11 gjøres følgende endringer:</w:t>
      </w:r>
    </w:p>
    <w:p w14:paraId="5294D2C5" w14:textId="77777777" w:rsidR="005D314E" w:rsidRPr="00576C3D" w:rsidRDefault="005D314E" w:rsidP="00576C3D">
      <w:pPr>
        <w:pStyle w:val="friliste2"/>
      </w:pPr>
      <w:r w:rsidRPr="00576C3D">
        <w:t>a)</w:t>
      </w:r>
      <w:r w:rsidRPr="00576C3D">
        <w:tab/>
        <w:t>I nr. 1 skal første ledd lyde:</w:t>
      </w:r>
    </w:p>
    <w:p w14:paraId="3266A835" w14:textId="77777777" w:rsidR="005D314E" w:rsidRPr="00576C3D" w:rsidRDefault="005D314E" w:rsidP="00576C3D">
      <w:pPr>
        <w:pStyle w:val="Listeavsnitt2"/>
      </w:pPr>
      <w:r w:rsidRPr="00576C3D">
        <w:t>«Hver medlemsstat skal utpeke den vedkommende myndigheten som skal utføre oppgavene og pliktene i henhold til denne forordningen, underrette Kommisjonen om dette og sikre at den vedkommende myndigheten har alle de fullmakter som er nødvendige for å utføre disse oppgavene og pliktene.».</w:t>
      </w:r>
    </w:p>
    <w:p w14:paraId="274FCE86" w14:textId="77777777" w:rsidR="005D314E" w:rsidRPr="00576C3D" w:rsidRDefault="005D314E" w:rsidP="00576C3D">
      <w:pPr>
        <w:pStyle w:val="friliste2"/>
      </w:pPr>
      <w:r w:rsidRPr="00576C3D">
        <w:t>b)</w:t>
      </w:r>
      <w:r w:rsidRPr="00576C3D">
        <w:tab/>
        <w:t>Nytt nummer skal lyde:</w:t>
      </w:r>
    </w:p>
    <w:p w14:paraId="3BB2B948" w14:textId="77777777" w:rsidR="005D314E" w:rsidRPr="00576C3D" w:rsidRDefault="005D314E" w:rsidP="00576C3D">
      <w:pPr>
        <w:pStyle w:val="friliste3"/>
      </w:pPr>
      <w:r w:rsidRPr="00576C3D">
        <w:t>«3.</w:t>
      </w:r>
      <w:r w:rsidRPr="00576C3D">
        <w:tab/>
        <w:t>Med henblikk på rapporten nevnt i artikkel 30 nr. 6 skal vedkommende myndigheter på anmodning fra Kommisjonen og på grunnlag av spørreskjemaet framlegge relevante opplysninger om gjennomføringen av denne forordningen.».</w:t>
      </w:r>
    </w:p>
    <w:p w14:paraId="527AC763" w14:textId="77777777" w:rsidR="005D314E" w:rsidRPr="00576C3D" w:rsidRDefault="005D314E" w:rsidP="00576C3D">
      <w:pPr>
        <w:pStyle w:val="friliste"/>
      </w:pPr>
      <w:r w:rsidRPr="00576C3D">
        <w:t>12)</w:t>
      </w:r>
      <w:r w:rsidRPr="00576C3D">
        <w:tab/>
        <w:t>I artikkel 14 gjøres følgende endringer:</w:t>
      </w:r>
    </w:p>
    <w:p w14:paraId="4B3FFEB3" w14:textId="77777777" w:rsidR="005D314E" w:rsidRPr="00576C3D" w:rsidRDefault="005D314E" w:rsidP="00576C3D">
      <w:pPr>
        <w:pStyle w:val="friliste2"/>
      </w:pPr>
      <w:r w:rsidRPr="00576C3D">
        <w:t>a)</w:t>
      </w:r>
      <w:r w:rsidRPr="00576C3D">
        <w:tab/>
        <w:t>Nr. 3 og 4 skal lyde:</w:t>
      </w:r>
    </w:p>
    <w:p w14:paraId="711AFBC8" w14:textId="77777777" w:rsidR="005D314E" w:rsidRPr="00576C3D" w:rsidRDefault="005D314E" w:rsidP="00576C3D">
      <w:pPr>
        <w:pStyle w:val="friliste3"/>
      </w:pPr>
      <w:r w:rsidRPr="00576C3D">
        <w:t>«3.</w:t>
      </w:r>
      <w:r w:rsidRPr="00576C3D">
        <w:tab/>
        <w:t xml:space="preserve">CBAM-registeret skal i en egen del inneholde opplysninger om operatører og anlegg i tredjeland som er registrert i samsvar med artikkel 10 nr. 2, og opplysninger om akkrediterte </w:t>
      </w:r>
      <w:proofErr w:type="spellStart"/>
      <w:r w:rsidRPr="00576C3D">
        <w:t>verifikatører</w:t>
      </w:r>
      <w:proofErr w:type="spellEnd"/>
      <w:r w:rsidRPr="00576C3D">
        <w:t xml:space="preserve"> som er registrert i samsvar med artikkel 10a.</w:t>
      </w:r>
    </w:p>
    <w:p w14:paraId="333A10EE" w14:textId="77777777" w:rsidR="005D314E" w:rsidRPr="00576C3D" w:rsidRDefault="005D314E" w:rsidP="00576C3D">
      <w:pPr>
        <w:pStyle w:val="friliste3"/>
      </w:pPr>
      <w:r w:rsidRPr="00576C3D">
        <w:t>4.</w:t>
      </w:r>
      <w:r w:rsidRPr="00576C3D">
        <w:tab/>
        <w:t xml:space="preserve">Opplysningene i CBAM-registeret nevnt i nr. 2 og 3 skal være konfidensielle, med unntak av navn, adresser, organisasjons- eller aktivitetsregistreringsnumre, kontaktopplysningene til operatørene, plasseringen av anlegg i tredjeland og opplysningene om akkrediterte </w:t>
      </w:r>
      <w:proofErr w:type="spellStart"/>
      <w:r w:rsidRPr="00576C3D">
        <w:t>verifikatører</w:t>
      </w:r>
      <w:proofErr w:type="spellEnd"/>
      <w:r w:rsidRPr="00576C3D">
        <w:t xml:space="preserve"> omhandlet i artikkel 10a nr. 2. En operatør kan velge å ikke få sitt navn, sin adresse, sitt organisasjons- eller aktivitetsregistreringsnummer, sine kontaktopplysninger eller plasseringen av sine anlegg gjort tilgjengelig for allmennheten. Den offentlige informasjonen i CBAM-registeret skal gjøres tilgjengelig av Kommisjonen i et interoperabelt format.».</w:t>
      </w:r>
    </w:p>
    <w:p w14:paraId="55A85C3E" w14:textId="77777777" w:rsidR="005D314E" w:rsidRPr="00576C3D" w:rsidRDefault="005D314E" w:rsidP="00576C3D">
      <w:pPr>
        <w:pStyle w:val="friliste2"/>
      </w:pPr>
      <w:r w:rsidRPr="00576C3D">
        <w:t>b)</w:t>
      </w:r>
      <w:r w:rsidRPr="00576C3D">
        <w:tab/>
        <w:t>Nr. 6 skal lyde:</w:t>
      </w:r>
    </w:p>
    <w:p w14:paraId="36E791F0" w14:textId="77777777" w:rsidR="005D314E" w:rsidRPr="00576C3D" w:rsidRDefault="005D314E" w:rsidP="00576C3D">
      <w:pPr>
        <w:pStyle w:val="friliste3"/>
      </w:pPr>
      <w:r w:rsidRPr="00576C3D">
        <w:t>«6.</w:t>
      </w:r>
      <w:r w:rsidRPr="00576C3D">
        <w:tab/>
        <w:t xml:space="preserve">Kommisjonen skal vedta gjennomføringsrettsakter for infrastrukturen og de spesifikke prosessene og framgangsmåtene i CBAM-registeret, herunder risikoanalysen nevnt i artikkel 15, de elektroniske databasene som inneholder opplysningene nevnt i nr. 2 og 3 i denne artikkelen, framgangsmåten og de tekniske kvalifikasjonene for delegeringen nevnt i artikkel 5 nr. 7a, opplysningene om kontoene i CBAM-registeret nevnt i artikkel 16, overføringen til CBAM-registeret av opplysningene om salg og tilbakekjøp av CBAM-sertifikater nevnt i artikkel 20, </w:t>
      </w:r>
      <w:proofErr w:type="spellStart"/>
      <w:r w:rsidRPr="00576C3D">
        <w:t>kryssjekkingen</w:t>
      </w:r>
      <w:proofErr w:type="spellEnd"/>
      <w:r w:rsidRPr="00576C3D">
        <w:t xml:space="preserve"> av opplysningene nevnt i artikkel 25 nr. 3 og opplysningene nevnt i artikkel 25a nr. 3. Disse gjennomføringsrettsaktene skal vedtas i samsvar med undersøkelsesprosedyren som det vises til i artikkel 29 nr. 2.».</w:t>
      </w:r>
    </w:p>
    <w:p w14:paraId="6CD66EBD" w14:textId="3BCBA094" w:rsidR="005D314E" w:rsidRPr="00576C3D" w:rsidRDefault="005D314E" w:rsidP="00576C3D">
      <w:pPr>
        <w:pStyle w:val="friliste"/>
      </w:pPr>
      <w:r w:rsidRPr="00576C3D">
        <w:t>13)</w:t>
      </w:r>
      <w:r w:rsidRPr="00576C3D">
        <w:tab/>
        <w:t>I artikkel 17 gjøres følgende endringer:</w:t>
      </w:r>
    </w:p>
    <w:p w14:paraId="79633E98" w14:textId="77777777" w:rsidR="005D314E" w:rsidRPr="00576C3D" w:rsidRDefault="005D314E" w:rsidP="00576C3D">
      <w:pPr>
        <w:pStyle w:val="friliste2"/>
      </w:pPr>
      <w:r w:rsidRPr="00576C3D">
        <w:t>a)</w:t>
      </w:r>
      <w:r w:rsidRPr="00576C3D">
        <w:tab/>
        <w:t>I nr. 1 skal andre ledd lyde:</w:t>
      </w:r>
    </w:p>
    <w:p w14:paraId="6F6549D2" w14:textId="77777777" w:rsidR="005D314E" w:rsidRPr="00576C3D" w:rsidRDefault="005D314E" w:rsidP="00576C3D">
      <w:pPr>
        <w:pStyle w:val="Listeavsnitt2"/>
      </w:pPr>
      <w:r w:rsidRPr="00576C3D">
        <w:t>«Før vedkommende myndighet tildeler status som autorisert CBAM-</w:t>
      </w:r>
      <w:proofErr w:type="spellStart"/>
      <w:r w:rsidRPr="00576C3D">
        <w:t>deklarant</w:t>
      </w:r>
      <w:proofErr w:type="spellEnd"/>
      <w:r w:rsidRPr="00576C3D">
        <w:t>, kan den via CBAM-registeret rådføre seg med relevante vedkommende myndigheter eller Kommisjonen om oppfyllelsen av kriteriene fastsatt i nr. 2. Høringsprosedyren skal ikke overstige 15 kalenderdager.».</w:t>
      </w:r>
    </w:p>
    <w:p w14:paraId="1BCE0031" w14:textId="77777777" w:rsidR="005D314E" w:rsidRPr="00576C3D" w:rsidRDefault="005D314E" w:rsidP="00576C3D">
      <w:pPr>
        <w:pStyle w:val="friliste2"/>
      </w:pPr>
      <w:r w:rsidRPr="00576C3D">
        <w:t>b)</w:t>
      </w:r>
      <w:r w:rsidRPr="00576C3D">
        <w:tab/>
        <w:t>Nr. 5 skal lyde:</w:t>
      </w:r>
    </w:p>
    <w:p w14:paraId="48EA17DD" w14:textId="77777777" w:rsidR="005D314E" w:rsidRPr="00576C3D" w:rsidRDefault="005D314E" w:rsidP="00576C3D">
      <w:pPr>
        <w:pStyle w:val="friliste3"/>
      </w:pPr>
      <w:r w:rsidRPr="00576C3D">
        <w:t>«5.</w:t>
      </w:r>
      <w:r w:rsidRPr="00576C3D">
        <w:tab/>
        <w:t>For å oppfylle kriteriene fastsatt i nr. 2 bokstav b) i denne artikkelen skal vedkommende myndighet kreve at det stilles en garanti dersom søkeren ikke var etablert i de to regnskapsårene før året da søknaden i samsvar med artikkel 5 nr. 1 ble inngitt.</w:t>
      </w:r>
    </w:p>
    <w:p w14:paraId="57A25EBD" w14:textId="77777777" w:rsidR="005D314E" w:rsidRPr="00576C3D" w:rsidRDefault="005D314E" w:rsidP="00576C3D">
      <w:pPr>
        <w:pStyle w:val="Listeavsnitt3"/>
      </w:pPr>
      <w:r w:rsidRPr="00576C3D">
        <w:t>Vedkommende myndighet skal fastsette garantibeløpet til et beløp beregnet som den samlede verdien av antallet CBAM-sertifikater som den autoriserte CBAM-</w:t>
      </w:r>
      <w:proofErr w:type="spellStart"/>
      <w:r w:rsidRPr="00576C3D">
        <w:t>deklaranten</w:t>
      </w:r>
      <w:proofErr w:type="spellEnd"/>
      <w:r w:rsidRPr="00576C3D">
        <w:t xml:space="preserve"> ville måtte innlevere i samsvar med artikkel 22 med hensyn til import av varer rapportert i samsvar med artikkel 5 nr. 5 bokstav g), idet det tas hensyn til justeringen som er nødvendig for å gjenspeile i hvilken grad EU ETS-kvoter tildeles vederlagsfritt i samsvar med artikkel 31. Garantien som stilles, skal være en bankgaranti som skal betales ved første påkrav av en finansinstitusjon som driver virksomhet i Unionen, eller en annen form for garanti som gir tilsvarende sikkerhet.</w:t>
      </w:r>
    </w:p>
    <w:p w14:paraId="0B195041" w14:textId="77777777" w:rsidR="005D314E" w:rsidRPr="00576C3D" w:rsidRDefault="005D314E" w:rsidP="00576C3D">
      <w:pPr>
        <w:pStyle w:val="friliste2"/>
      </w:pPr>
      <w:r w:rsidRPr="00576C3D">
        <w:t>c)</w:t>
      </w:r>
      <w:r w:rsidRPr="00576C3D">
        <w:tab/>
        <w:t>Nr. 7 skal lyde:</w:t>
      </w:r>
    </w:p>
    <w:p w14:paraId="65288E0D" w14:textId="77777777" w:rsidR="005D314E" w:rsidRPr="00576C3D" w:rsidRDefault="005D314E" w:rsidP="00576C3D">
      <w:pPr>
        <w:pStyle w:val="friliste3"/>
      </w:pPr>
      <w:r w:rsidRPr="00576C3D">
        <w:t>«7.</w:t>
      </w:r>
      <w:r w:rsidRPr="00576C3D">
        <w:tab/>
        <w:t>Vedkommende myndighet skal frigi garantien umiddelbart etter den 30. september i det andre året der den autoriserte CBAM-</w:t>
      </w:r>
      <w:proofErr w:type="spellStart"/>
      <w:r w:rsidRPr="00576C3D">
        <w:t>deklaranten</w:t>
      </w:r>
      <w:proofErr w:type="spellEnd"/>
      <w:r w:rsidRPr="00576C3D">
        <w:t xml:space="preserve"> har innlevert CBAM-sertifikater i samsvar med artikkel 22.</w:t>
      </w:r>
    </w:p>
    <w:p w14:paraId="5FDE6AA7" w14:textId="77777777" w:rsidR="005D314E" w:rsidRPr="00576C3D" w:rsidRDefault="005D314E" w:rsidP="00576C3D">
      <w:pPr>
        <w:pStyle w:val="friliste2"/>
      </w:pPr>
      <w:r w:rsidRPr="00576C3D">
        <w:t>d)</w:t>
      </w:r>
      <w:r w:rsidRPr="00576C3D">
        <w:tab/>
        <w:t>Nytt nummer skal lyde:</w:t>
      </w:r>
    </w:p>
    <w:p w14:paraId="72AE7204" w14:textId="77777777" w:rsidR="005D314E" w:rsidRPr="00576C3D" w:rsidRDefault="005D314E" w:rsidP="00576C3D">
      <w:pPr>
        <w:pStyle w:val="friliste3"/>
      </w:pPr>
      <w:r w:rsidRPr="00576C3D">
        <w:t>«7a.</w:t>
      </w:r>
      <w:r w:rsidRPr="00576C3D">
        <w:tab/>
        <w:t>Som unntak fra artikkel 4 kan en importør eller en indirekte tollrepresentant som har inngitt en søknad i samsvar med artikkel 5 innen 31. mars 2026, midlertidig fortsette å importere varer inntil vedkommende myndighet treffer en beslutning i henhold til denne artikkel.</w:t>
      </w:r>
    </w:p>
    <w:p w14:paraId="2958EC21" w14:textId="77777777" w:rsidR="005D314E" w:rsidRPr="00576C3D" w:rsidRDefault="005D314E" w:rsidP="00576C3D">
      <w:pPr>
        <w:pStyle w:val="Listeavsnitt3"/>
      </w:pPr>
      <w:r w:rsidRPr="00576C3D">
        <w:t>Dersom vedkommende myndighet nekter å gi tillatelse i samsvar med nr. 3, skal vedkommende myndighet innen en måned etter datoen for vedtaket fastsette utslippene som er innebygd i varene som er importert mellom 1. januar 2026 og datoen for vedtaket, på grunnlag av opplysningene som er oversendt i samsvar med artikkel 25 nr. 3, og med henvisning til standardverdier i samsvar med metodene fastsatt i vedlegg IV, og på grunnlag av andre relevante opplysninger.</w:t>
      </w:r>
    </w:p>
    <w:p w14:paraId="53677E63" w14:textId="77777777" w:rsidR="005D314E" w:rsidRPr="00576C3D" w:rsidRDefault="005D314E" w:rsidP="00576C3D">
      <w:pPr>
        <w:pStyle w:val="Listeavsnitt2"/>
      </w:pPr>
      <w:r w:rsidRPr="00576C3D">
        <w:t>Disse fastsatte utslippene skal brukes ved beregning av overtredelsesgebyr i samsvar med artikkel 26 nr. 2a.».</w:t>
      </w:r>
    </w:p>
    <w:p w14:paraId="446871FC" w14:textId="77777777" w:rsidR="005D314E" w:rsidRPr="00576C3D" w:rsidRDefault="005D314E" w:rsidP="00576C3D">
      <w:pPr>
        <w:pStyle w:val="friliste2"/>
      </w:pPr>
      <w:r w:rsidRPr="00576C3D">
        <w:t>e)</w:t>
      </w:r>
      <w:r w:rsidRPr="00576C3D">
        <w:tab/>
        <w:t>I nr. 8 skal andre ledd lyde:</w:t>
      </w:r>
    </w:p>
    <w:p w14:paraId="75E9981A" w14:textId="77777777" w:rsidR="005D314E" w:rsidRPr="00576C3D" w:rsidRDefault="005D314E" w:rsidP="00576C3D">
      <w:pPr>
        <w:pStyle w:val="Listeavsnitt2"/>
      </w:pPr>
      <w:r w:rsidRPr="00576C3D">
        <w:t>«Før vedkommende myndighet tilbakekaller status som autorisert CBAM-</w:t>
      </w:r>
      <w:proofErr w:type="spellStart"/>
      <w:r w:rsidRPr="00576C3D">
        <w:t>deklarant</w:t>
      </w:r>
      <w:proofErr w:type="spellEnd"/>
      <w:r w:rsidRPr="00576C3D">
        <w:t>, skal den gi den autoriserte CBAM-</w:t>
      </w:r>
      <w:proofErr w:type="spellStart"/>
      <w:r w:rsidRPr="00576C3D">
        <w:t>deklaranten</w:t>
      </w:r>
      <w:proofErr w:type="spellEnd"/>
      <w:r w:rsidRPr="00576C3D">
        <w:t xml:space="preserve"> mulighet til å bli hørt. Vedkommende myndighet kan via CBAM-registeret rådføre seg med relevante vedkommende myndigheter eller Kommisjonen om vilkårene og kriteriene for tilbakekallingen. Høringsprosedyren skal ikke overstige 15 kalenderdager.».</w:t>
      </w:r>
    </w:p>
    <w:p w14:paraId="1D7D0932" w14:textId="77777777" w:rsidR="005D314E" w:rsidRPr="00576C3D" w:rsidRDefault="005D314E" w:rsidP="00576C3D">
      <w:pPr>
        <w:pStyle w:val="friliste2"/>
      </w:pPr>
      <w:r w:rsidRPr="00576C3D">
        <w:t>f)</w:t>
      </w:r>
      <w:r w:rsidRPr="00576C3D">
        <w:tab/>
        <w:t>I nr. 10 skal bokstav e) lyde:</w:t>
      </w:r>
    </w:p>
    <w:p w14:paraId="60D67E6E" w14:textId="77777777" w:rsidR="005D314E" w:rsidRPr="00576C3D" w:rsidRDefault="005D314E" w:rsidP="00576C3D">
      <w:pPr>
        <w:pStyle w:val="friliste3"/>
      </w:pPr>
      <w:r w:rsidRPr="00576C3D">
        <w:t>«e)</w:t>
      </w:r>
      <w:r w:rsidRPr="00576C3D">
        <w:tab/>
        <w:t>de konkrete tidsfristene, omfanget og formatet for høringsprosedyren nevnt i nr. 1 og 8 i denne artikkelen.».</w:t>
      </w:r>
    </w:p>
    <w:p w14:paraId="1FBD35CD" w14:textId="77777777" w:rsidR="005D314E" w:rsidRPr="00576C3D" w:rsidRDefault="005D314E" w:rsidP="00576C3D">
      <w:pPr>
        <w:pStyle w:val="friliste"/>
      </w:pPr>
      <w:r w:rsidRPr="00576C3D">
        <w:t>14)</w:t>
      </w:r>
      <w:r w:rsidRPr="00576C3D">
        <w:tab/>
        <w:t>I artikkel 18 gjøres følgende endringer:</w:t>
      </w:r>
    </w:p>
    <w:p w14:paraId="38C5CC45" w14:textId="77777777" w:rsidR="005D314E" w:rsidRPr="00576C3D" w:rsidRDefault="005D314E" w:rsidP="00576C3D">
      <w:pPr>
        <w:pStyle w:val="friliste2"/>
      </w:pPr>
      <w:r w:rsidRPr="00576C3D">
        <w:t>a)</w:t>
      </w:r>
      <w:r w:rsidRPr="00576C3D">
        <w:tab/>
        <w:t>Nr. 1 utgår.</w:t>
      </w:r>
    </w:p>
    <w:p w14:paraId="173A41E5" w14:textId="77777777" w:rsidR="005D314E" w:rsidRPr="00576C3D" w:rsidRDefault="005D314E" w:rsidP="00576C3D">
      <w:pPr>
        <w:pStyle w:val="friliste2"/>
      </w:pPr>
      <w:r w:rsidRPr="00576C3D">
        <w:t>b)</w:t>
      </w:r>
      <w:r w:rsidRPr="00576C3D">
        <w:tab/>
        <w:t>Nr. 2 skal lyde:</w:t>
      </w:r>
    </w:p>
    <w:p w14:paraId="30FEA4F7" w14:textId="77777777" w:rsidR="005D314E" w:rsidRPr="00576C3D" w:rsidRDefault="005D314E" w:rsidP="00576C3D">
      <w:pPr>
        <w:pStyle w:val="friliste3"/>
      </w:pPr>
      <w:r w:rsidRPr="00576C3D">
        <w:t>«2.</w:t>
      </w:r>
      <w:r w:rsidRPr="00576C3D">
        <w:tab/>
        <w:t xml:space="preserve">Et nasjonalt akkrediteringsorgan kan på anmodning akkreditere en juridisk person som </w:t>
      </w:r>
      <w:proofErr w:type="spellStart"/>
      <w:r w:rsidRPr="00576C3D">
        <w:t>verifikatør</w:t>
      </w:r>
      <w:proofErr w:type="spellEnd"/>
      <w:r w:rsidRPr="00576C3D">
        <w:t xml:space="preserve"> i henhold til denne forordningen dersom organet på grunnlag av dokumentasjonen som det får tilsendt, anser at vedkommende er i stand til å anvende verifiseringsprinsippene nevnt i vedlegg VI når vedkommende utfører verifiseringsoppgavene for de innbakte utslippene i henhold til artikkel 8 og 10. Når den juridiske personen er akkreditert i samsvar med gjennomføringsforordning (EU) 2018/2067 for en relevant gruppe aktiviteter, skal det nasjonale akkrediteringsorganet ta hensyn til denne akkrediteringen ved vurderingen av kvalifikasjonene til en akkreditert </w:t>
      </w:r>
      <w:proofErr w:type="spellStart"/>
      <w:r w:rsidRPr="00576C3D">
        <w:t>verifikatør</w:t>
      </w:r>
      <w:proofErr w:type="spellEnd"/>
      <w:r w:rsidRPr="00576C3D">
        <w:t xml:space="preserve"> som er nødvendige for å utføre verifiseringen med henblikk på denne forordningen.».</w:t>
      </w:r>
    </w:p>
    <w:p w14:paraId="340B691B" w14:textId="77777777" w:rsidR="005D314E" w:rsidRPr="00576C3D" w:rsidRDefault="005D314E" w:rsidP="00576C3D">
      <w:pPr>
        <w:pStyle w:val="friliste"/>
      </w:pPr>
      <w:r w:rsidRPr="00576C3D">
        <w:t>15)</w:t>
      </w:r>
      <w:r w:rsidRPr="00576C3D">
        <w:tab/>
        <w:t>I artikkel 19 nr. 3 skal andre ledd lyde:</w:t>
      </w:r>
    </w:p>
    <w:p w14:paraId="34CBEE53" w14:textId="77777777" w:rsidR="005D314E" w:rsidRPr="00576C3D" w:rsidRDefault="005D314E" w:rsidP="00576C3D">
      <w:pPr>
        <w:pStyle w:val="Listeavsnitt"/>
      </w:pPr>
      <w:r w:rsidRPr="00576C3D">
        <w:t>«Kommisjonen skal også lette utvekslingen av opplysninger med vedkommende myndigheter om bedrageri, om konklusjonene som treffes i henhold til artikkel 25a og om overtredelsesgebyrene som ilegges i samsvar med artikkel 26.».</w:t>
      </w:r>
    </w:p>
    <w:p w14:paraId="0E82C4DD" w14:textId="77777777" w:rsidR="005D314E" w:rsidRPr="00576C3D" w:rsidRDefault="005D314E" w:rsidP="00576C3D">
      <w:pPr>
        <w:pStyle w:val="friliste"/>
      </w:pPr>
      <w:r w:rsidRPr="00576C3D">
        <w:t>16)</w:t>
      </w:r>
      <w:r w:rsidRPr="00576C3D">
        <w:tab/>
        <w:t>I artikkel 20 gjøres følgende endringer:</w:t>
      </w:r>
    </w:p>
    <w:p w14:paraId="49C71C8A" w14:textId="77777777" w:rsidR="005D314E" w:rsidRPr="00576C3D" w:rsidRDefault="005D314E" w:rsidP="00576C3D">
      <w:pPr>
        <w:pStyle w:val="friliste2"/>
      </w:pPr>
      <w:r w:rsidRPr="00576C3D">
        <w:t>a)</w:t>
      </w:r>
      <w:r w:rsidRPr="00576C3D">
        <w:tab/>
        <w:t>Nr. 1 skal lyde:</w:t>
      </w:r>
    </w:p>
    <w:p w14:paraId="769EB432" w14:textId="77777777" w:rsidR="005D314E" w:rsidRPr="00576C3D" w:rsidRDefault="005D314E" w:rsidP="00576C3D">
      <w:pPr>
        <w:pStyle w:val="friliste3"/>
      </w:pPr>
      <w:r w:rsidRPr="00576C3D">
        <w:t>«1.</w:t>
      </w:r>
      <w:r w:rsidRPr="00576C3D">
        <w:tab/>
        <w:t>Fra 1. februar 2027 skal en medlemsstat selge CBAM-sertifikater på en felles sentral plattform til autoriserte CBAM-</w:t>
      </w:r>
      <w:proofErr w:type="spellStart"/>
      <w:r w:rsidRPr="00576C3D">
        <w:t>deklaranter</w:t>
      </w:r>
      <w:proofErr w:type="spellEnd"/>
      <w:r w:rsidRPr="00576C3D">
        <w:t xml:space="preserve"> som er etablert i den aktuelle medlemsstaten.».</w:t>
      </w:r>
    </w:p>
    <w:p w14:paraId="4173C8BE" w14:textId="77777777" w:rsidR="005D314E" w:rsidRPr="00576C3D" w:rsidRDefault="005D314E" w:rsidP="00576C3D">
      <w:pPr>
        <w:pStyle w:val="friliste2"/>
      </w:pPr>
      <w:r w:rsidRPr="00576C3D">
        <w:t>b)</w:t>
      </w:r>
      <w:r w:rsidRPr="00576C3D">
        <w:tab/>
        <w:t>Nr. 3 skal lyde:</w:t>
      </w:r>
    </w:p>
    <w:p w14:paraId="11E8EE21" w14:textId="77777777" w:rsidR="005D314E" w:rsidRPr="00576C3D" w:rsidRDefault="005D314E" w:rsidP="00576C3D">
      <w:pPr>
        <w:pStyle w:val="friliste3"/>
      </w:pPr>
      <w:r w:rsidRPr="00576C3D">
        <w:t>«3.</w:t>
      </w:r>
      <w:r w:rsidRPr="00576C3D">
        <w:tab/>
        <w:t>Opplysningene om salg og tilbakekjøp av CBAM-sertifikater i den felles sentrale plattformen skal overføres til CBAM-registeret på slutten av hver virkedag.».</w:t>
      </w:r>
    </w:p>
    <w:p w14:paraId="300417F2" w14:textId="77777777" w:rsidR="005D314E" w:rsidRPr="00576C3D" w:rsidRDefault="005D314E" w:rsidP="00576C3D">
      <w:pPr>
        <w:pStyle w:val="friliste2"/>
      </w:pPr>
      <w:r w:rsidRPr="00576C3D">
        <w:t>c)</w:t>
      </w:r>
      <w:r w:rsidRPr="00576C3D">
        <w:tab/>
        <w:t>Nytt nummer skal lyde:</w:t>
      </w:r>
    </w:p>
    <w:p w14:paraId="28175BFB" w14:textId="77777777" w:rsidR="005D314E" w:rsidRPr="00576C3D" w:rsidRDefault="005D314E" w:rsidP="00576C3D">
      <w:pPr>
        <w:pStyle w:val="friliste3"/>
      </w:pPr>
      <w:r w:rsidRPr="00576C3D">
        <w:t>«5a.</w:t>
      </w:r>
      <w:r w:rsidRPr="00576C3D">
        <w:tab/>
        <w:t>Kostnader som påløper i forbindelse med opprettelse, drift og forvaltning av den felles sentrale plattformen, skal finansieres av gebyrer som skal betales av autoriserte CBAM-</w:t>
      </w:r>
      <w:proofErr w:type="spellStart"/>
      <w:r w:rsidRPr="00576C3D">
        <w:t>deklaranter</w:t>
      </w:r>
      <w:proofErr w:type="spellEnd"/>
      <w:r w:rsidRPr="00576C3D">
        <w:t>.</w:t>
      </w:r>
    </w:p>
    <w:p w14:paraId="23308773" w14:textId="77777777" w:rsidR="005D314E" w:rsidRPr="00576C3D" w:rsidRDefault="005D314E" w:rsidP="00576C3D">
      <w:pPr>
        <w:pStyle w:val="Listeavsnitt3"/>
      </w:pPr>
      <w:r w:rsidRPr="00576C3D">
        <w:t>Under varigheten av den første felles kontrakten om offentlige innkjøp for opprettelse, drift og forvaltning av den felles sentrale plattformen, skal disse kostnadene innledningsvis dekkes over Unionens alminnelige budsjett. For dette formålet skal inntektene fra gebyrene utgjøre interne inntekter avsatt til et bestemt formål i samsvar med artikkel 21 nr. 3 bokstav a) i europaparlaments- og rådsforordning (EU, Euratom) 2024/2509 (*).». Disse inntektene skal avsettes til å dekke kostnadene ved opprettelse, drift og forvaltning av den felles sentrale plattformen. Eventuelle inntekter som gjenstår etter at disse kostnadene er dekket, skal overføres til unionsbudsjettet.</w:t>
      </w:r>
    </w:p>
    <w:p w14:paraId="17C90366" w14:textId="77777777" w:rsidR="005D314E" w:rsidRPr="00576C3D" w:rsidRDefault="005D314E" w:rsidP="00576C3D">
      <w:pPr>
        <w:pStyle w:val="Listeavsnitt3"/>
      </w:pPr>
      <w:r w:rsidRPr="00576C3D">
        <w:t xml:space="preserve">Under varigheten av de påfølgende felles kontraktene om offentlige innkjøp for drift og forvaltning av den felles sentrale plattformen, skal Kommisjonen vedta en delegert rettsakt i samsvar med artikkel 28, som skal utfylle denne forordningen, for å fastslå at gebyrene som skal betales </w:t>
      </w:r>
      <w:r w:rsidRPr="00576C3D">
        <w:br/>
        <w:t>av autoriserte CBAM-</w:t>
      </w:r>
      <w:proofErr w:type="spellStart"/>
      <w:r w:rsidRPr="00576C3D">
        <w:t>deklaranter</w:t>
      </w:r>
      <w:proofErr w:type="spellEnd"/>
      <w:r w:rsidRPr="00576C3D">
        <w:t>, direkte skal finansiere kostnadene ved drift og forvaltning av den felles sentrale plattformen.</w:t>
      </w:r>
    </w:p>
    <w:p w14:paraId="15941183" w14:textId="018E20C2" w:rsidR="005D314E" w:rsidRPr="00576C3D" w:rsidRDefault="005D314E" w:rsidP="00576C3D">
      <w:pPr>
        <w:pStyle w:val="Petit"/>
      </w:pPr>
      <w:r w:rsidRPr="00576C3D">
        <w:t>(</w:t>
      </w:r>
      <w:bookmarkStart w:id="1" w:name="RTF4e4f54455f3131"/>
      <w:r w:rsidRPr="00576C3D">
        <w:t>*)</w:t>
      </w:r>
      <w:r w:rsidRPr="00576C3D">
        <w:tab/>
        <w:t>Europaparlaments- og rådsforordning (EU, Euratom) 20</w:t>
      </w:r>
      <w:bookmarkEnd w:id="1"/>
      <w:r w:rsidRPr="00576C3D">
        <w:t>24/2509 av 23. september 2024 om finansielle regler for Unionens alminnelige budsjett (EUT L, 2024/2509, 26.9.2024, ELI: </w:t>
      </w:r>
      <w:hyperlink r:id="rId11" w:history="1"/>
      <w:r w:rsidRPr="00576C3D">
        <w:rPr>
          <w:rStyle w:val="Hyperkobling"/>
        </w:rPr>
        <w:t>http://data.europa.eu/</w:t>
      </w:r>
      <w:proofErr w:type="spellStart"/>
      <w:r w:rsidRPr="00576C3D">
        <w:rPr>
          <w:rStyle w:val="Hyperkobling"/>
        </w:rPr>
        <w:t>eli</w:t>
      </w:r>
      <w:proofErr w:type="spellEnd"/>
      <w:r w:rsidRPr="00576C3D">
        <w:rPr>
          <w:rStyle w:val="Hyperkobling"/>
        </w:rPr>
        <w:t>/</w:t>
      </w:r>
      <w:proofErr w:type="spellStart"/>
      <w:r w:rsidRPr="00576C3D">
        <w:rPr>
          <w:rStyle w:val="Hyperkobling"/>
        </w:rPr>
        <w:t>reg</w:t>
      </w:r>
      <w:proofErr w:type="spellEnd"/>
      <w:r w:rsidRPr="00576C3D">
        <w:rPr>
          <w:rStyle w:val="Hyperkobling"/>
        </w:rPr>
        <w:t>/2024/2509/</w:t>
      </w:r>
      <w:proofErr w:type="spellStart"/>
      <w:r w:rsidRPr="00576C3D">
        <w:rPr>
          <w:rStyle w:val="Hyperkobling"/>
        </w:rPr>
        <w:t>oj</w:t>
      </w:r>
      <w:proofErr w:type="spellEnd"/>
      <w:r w:rsidRPr="00576C3D">
        <w:rPr>
          <w:rStyle w:val="Hyperkobling"/>
        </w:rPr>
        <w:t>).»</w:t>
      </w:r>
      <w:r w:rsidRPr="00576C3D">
        <w:t>.</w:t>
      </w:r>
    </w:p>
    <w:p w14:paraId="6C707D91" w14:textId="77777777" w:rsidR="005D314E" w:rsidRPr="00576C3D" w:rsidRDefault="005D314E" w:rsidP="00576C3D">
      <w:pPr>
        <w:pStyle w:val="friliste2"/>
      </w:pPr>
      <w:r w:rsidRPr="00576C3D">
        <w:t>d)</w:t>
      </w:r>
      <w:r w:rsidRPr="00576C3D">
        <w:tab/>
        <w:t>Nr. 6 skal lyde:</w:t>
      </w:r>
    </w:p>
    <w:p w14:paraId="328E1F9C" w14:textId="77777777" w:rsidR="005D314E" w:rsidRPr="00576C3D" w:rsidRDefault="005D314E" w:rsidP="00576C3D">
      <w:pPr>
        <w:pStyle w:val="friliste3"/>
      </w:pPr>
      <w:r w:rsidRPr="00576C3D">
        <w:t>«6.</w:t>
      </w:r>
      <w:r w:rsidRPr="00576C3D">
        <w:tab/>
        <w:t>Kommisjonen gis myndighet til å vedta delegerte rettsakter i samsvar med artikkel 28 for å utfylle denne forordningen ved nærmere å angi tidsskjema, administrasjon, struktur og nivå på gebyrene og andre sider ved forvaltningen av salg og tilbakekjøp av CBAM-sertifikater, samt organisering og bruk av den felles sentrale plattformen, og søke å oppnå samsvar med framgangsmåtene i delegert kommisjonsforordning (EU) nr. 2023/2830(*). De delegerte rettsaktene skal sikre at organiseringen og bruken av den felles sentrale plattformen er kostnadseffektiv, at nivået på gebyrene fastsettes slik at de utelukkende dekker de relevante kostnadene, og at unødvendige administrative kostnader unngås.</w:t>
      </w:r>
    </w:p>
    <w:p w14:paraId="115F67EF" w14:textId="448B6B0C" w:rsidR="005D314E" w:rsidRPr="00576C3D" w:rsidRDefault="005D314E" w:rsidP="00576C3D">
      <w:pPr>
        <w:pStyle w:val="Petit"/>
      </w:pPr>
      <w:r w:rsidRPr="00576C3D">
        <w:t>(</w:t>
      </w:r>
      <w:bookmarkStart w:id="2" w:name="RTF4e4f54455f3132"/>
      <w:r w:rsidRPr="00576C3D">
        <w:t>*)</w:t>
      </w:r>
      <w:r w:rsidRPr="00576C3D">
        <w:tab/>
        <w:t>Delegert kommisjonsforordning (EU) 2023/2830 av 17. okto</w:t>
      </w:r>
      <w:bookmarkEnd w:id="2"/>
      <w:r w:rsidRPr="00576C3D">
        <w:t xml:space="preserve">ber 2023 om utfylling av europaparlaments- og rådsdirektiv 2003/87/EF ved fastsettelse av regler for tidsskjema, administrasjon og andre sider ved auksjonering av utslippskvoter for klimagasser (EUT L, 2023/2830, 20.12.2023, ELI: </w:t>
      </w:r>
      <w:hyperlink r:id="rId12" w:history="1"/>
      <w:r w:rsidRPr="00576C3D">
        <w:rPr>
          <w:rStyle w:val="Hyperkobling"/>
        </w:rPr>
        <w:t>http://data.europa.eu/eli/reg_del/2023/2830/oj</w:t>
      </w:r>
      <w:r w:rsidRPr="00576C3D">
        <w:t>).</w:t>
      </w:r>
    </w:p>
    <w:p w14:paraId="14230183" w14:textId="77777777" w:rsidR="005D314E" w:rsidRPr="00576C3D" w:rsidRDefault="005D314E" w:rsidP="00576C3D">
      <w:pPr>
        <w:pStyle w:val="friliste"/>
      </w:pPr>
      <w:r w:rsidRPr="00576C3D">
        <w:t>17)</w:t>
      </w:r>
      <w:r w:rsidRPr="00576C3D">
        <w:tab/>
        <w:t>I artikkel 21 gjøres følgende endringer:</w:t>
      </w:r>
    </w:p>
    <w:p w14:paraId="1DFDAF39" w14:textId="77777777" w:rsidR="005D314E" w:rsidRPr="00576C3D" w:rsidRDefault="005D314E" w:rsidP="00576C3D">
      <w:pPr>
        <w:pStyle w:val="friliste2"/>
      </w:pPr>
      <w:r w:rsidRPr="00576C3D">
        <w:t>a)</w:t>
      </w:r>
      <w:r w:rsidRPr="00576C3D">
        <w:tab/>
        <w:t>I nr. 1 skal første ledd lyde:</w:t>
      </w:r>
    </w:p>
    <w:p w14:paraId="2837CCC4" w14:textId="77777777" w:rsidR="005D314E" w:rsidRPr="00576C3D" w:rsidRDefault="005D314E" w:rsidP="00576C3D">
      <w:pPr>
        <w:pStyle w:val="friliste3"/>
      </w:pPr>
      <w:r w:rsidRPr="00576C3D">
        <w:t>«1.</w:t>
      </w:r>
      <w:r w:rsidRPr="00576C3D">
        <w:tab/>
        <w:t>Kommisjonen skal beregne prisen på CBAM-sertifikater som gjennomsnittet av sluttprisene på EU ETS-kvoter på auksjonsplattformen, i samsvar med framgangsmåtene fastsatt i forordning (EU) 2023/2830, for hver kalenderuke.».</w:t>
      </w:r>
    </w:p>
    <w:p w14:paraId="7FB7315F" w14:textId="77777777" w:rsidR="005D314E" w:rsidRPr="00576C3D" w:rsidRDefault="005D314E" w:rsidP="00576C3D">
      <w:pPr>
        <w:pStyle w:val="friliste2"/>
      </w:pPr>
      <w:r w:rsidRPr="00576C3D">
        <w:t>b)</w:t>
      </w:r>
      <w:r w:rsidRPr="00576C3D">
        <w:tab/>
        <w:t>Nytt nummer skal lyde:</w:t>
      </w:r>
    </w:p>
    <w:p w14:paraId="31EE163A" w14:textId="77777777" w:rsidR="005D314E" w:rsidRPr="00576C3D" w:rsidRDefault="005D314E" w:rsidP="00576C3D">
      <w:pPr>
        <w:pStyle w:val="friliste3"/>
      </w:pPr>
      <w:r w:rsidRPr="00576C3D">
        <w:t>«1a.</w:t>
      </w:r>
      <w:r w:rsidRPr="00576C3D">
        <w:tab/>
        <w:t xml:space="preserve">Som unntak fra nr. 1 skal Kommisjonen beregne prisen på CBAM-sertifikater som tilsvarer de innbakte utslippene som er oppgitt for 2026 i samsvar med artikkel 6 nr. 2 bokstav b), som det </w:t>
      </w:r>
      <w:proofErr w:type="spellStart"/>
      <w:r w:rsidRPr="00576C3D">
        <w:t>kvartalsvise</w:t>
      </w:r>
      <w:proofErr w:type="spellEnd"/>
      <w:r w:rsidRPr="00576C3D">
        <w:t xml:space="preserve"> gjennomsnittet av sluttprisene på EU ETS-kvoter på auksjonsplattformen, i samsvar med framgangsmåtene fastsatt i delegert forordning (EU) 2023/2830, for importkvartalet for varene som disse utslippene er innbakt i.».</w:t>
      </w:r>
    </w:p>
    <w:p w14:paraId="15D78DB5" w14:textId="77777777" w:rsidR="005D314E" w:rsidRPr="00576C3D" w:rsidRDefault="005D314E" w:rsidP="00576C3D">
      <w:pPr>
        <w:pStyle w:val="friliste2"/>
      </w:pPr>
      <w:r w:rsidRPr="00576C3D">
        <w:t>c)</w:t>
      </w:r>
      <w:r w:rsidRPr="00576C3D">
        <w:tab/>
        <w:t>Nr. 3 skal lyde:</w:t>
      </w:r>
    </w:p>
    <w:p w14:paraId="09641C0B" w14:textId="77777777" w:rsidR="005D314E" w:rsidRPr="00576C3D" w:rsidRDefault="005D314E" w:rsidP="00576C3D">
      <w:pPr>
        <w:pStyle w:val="friliste3"/>
      </w:pPr>
      <w:r w:rsidRPr="00576C3D">
        <w:t>«3.</w:t>
      </w:r>
      <w:r w:rsidRPr="00576C3D">
        <w:tab/>
        <w:t xml:space="preserve">Kommisjonen gis myndighet til å vedta gjennomføringsrettsakter for </w:t>
      </w:r>
      <w:proofErr w:type="gramStart"/>
      <w:r w:rsidRPr="00576C3D">
        <w:t>anvendelsen</w:t>
      </w:r>
      <w:proofErr w:type="gramEnd"/>
      <w:r w:rsidRPr="00576C3D">
        <w:t xml:space="preserve"> av metoden fastsatt i nr. 1 og 1a i denne artikkel for å beregne prisen på CBAM-sertifikater og de praktiske ordningene for offentliggjøring av denne prisen. Disse gjennomføringsrettsaktene skal vedtas i samsvar med undersøkelsesprosedyren som det vises til i artikkel 29 nr. 2.».</w:t>
      </w:r>
    </w:p>
    <w:p w14:paraId="609489D1" w14:textId="77777777" w:rsidR="005D314E" w:rsidRPr="00576C3D" w:rsidRDefault="005D314E" w:rsidP="00576C3D">
      <w:pPr>
        <w:pStyle w:val="friliste"/>
      </w:pPr>
      <w:r w:rsidRPr="00576C3D">
        <w:t>18)</w:t>
      </w:r>
      <w:r w:rsidRPr="00576C3D">
        <w:tab/>
        <w:t>I artikkel 22 gjøres følgende endringer:</w:t>
      </w:r>
    </w:p>
    <w:p w14:paraId="3D77FD21" w14:textId="77777777" w:rsidR="005D314E" w:rsidRPr="00576C3D" w:rsidRDefault="005D314E" w:rsidP="00576C3D">
      <w:pPr>
        <w:pStyle w:val="friliste2"/>
      </w:pPr>
      <w:r w:rsidRPr="00576C3D">
        <w:t>a)</w:t>
      </w:r>
      <w:r w:rsidRPr="00576C3D">
        <w:tab/>
        <w:t>Nr. 1 skal lyde:</w:t>
      </w:r>
    </w:p>
    <w:p w14:paraId="3F36AB89" w14:textId="77777777" w:rsidR="005D314E" w:rsidRPr="00576C3D" w:rsidRDefault="005D314E" w:rsidP="00576C3D">
      <w:pPr>
        <w:pStyle w:val="friliste3"/>
      </w:pPr>
      <w:r w:rsidRPr="00576C3D">
        <w:t>«1.</w:t>
      </w:r>
      <w:r w:rsidRPr="00576C3D">
        <w:tab/>
        <w:t>Innen 30. september hvert år, og første gang i 2027 for 2026, skal den autoriserte CBAM-</w:t>
      </w:r>
      <w:proofErr w:type="spellStart"/>
      <w:r w:rsidRPr="00576C3D">
        <w:t>deklaranten</w:t>
      </w:r>
      <w:proofErr w:type="spellEnd"/>
      <w:r w:rsidRPr="00576C3D">
        <w:t xml:space="preserve"> innlevere via CBAM-registeret et antall CBAM-sertifikater som tilsvarer de innbakte utslippene som er oppgitt i samsvar med artikkel 6 nr. 2 bokstav c), og verifisert i samsvar med artikkel 8, for kalenderåret før innleveringen. Kommisjonen skal fjerne innleverte CBAM-sertifikater fra CBAM-registeret. Den autoriserte CBAM-</w:t>
      </w:r>
      <w:proofErr w:type="spellStart"/>
      <w:r w:rsidRPr="00576C3D">
        <w:t>deklaranten</w:t>
      </w:r>
      <w:proofErr w:type="spellEnd"/>
      <w:r w:rsidRPr="00576C3D">
        <w:t xml:space="preserve"> skal sikre at det nødvendige antallet CBAM-sertifikater er tilgjengelig på dennes konto i CBAM-registeret.».</w:t>
      </w:r>
    </w:p>
    <w:p w14:paraId="2F5F8ABA" w14:textId="77777777" w:rsidR="005D314E" w:rsidRPr="00576C3D" w:rsidRDefault="005D314E" w:rsidP="00576C3D">
      <w:pPr>
        <w:pStyle w:val="friliste2"/>
      </w:pPr>
      <w:r w:rsidRPr="00576C3D">
        <w:t>b)</w:t>
      </w:r>
      <w:r w:rsidRPr="00576C3D">
        <w:tab/>
        <w:t>Nr. 2 skal lyde:</w:t>
      </w:r>
    </w:p>
    <w:p w14:paraId="7F59C0E2" w14:textId="77777777" w:rsidR="005D314E" w:rsidRPr="00576C3D" w:rsidRDefault="005D314E" w:rsidP="00576C3D">
      <w:pPr>
        <w:pStyle w:val="friliste3"/>
      </w:pPr>
      <w:r w:rsidRPr="00576C3D">
        <w:t>«2.</w:t>
      </w:r>
      <w:r w:rsidRPr="00576C3D">
        <w:tab/>
        <w:t>Fra 2027 skal den autoriserte CBAM-</w:t>
      </w:r>
      <w:proofErr w:type="spellStart"/>
      <w:r w:rsidRPr="00576C3D">
        <w:t>deklaranten</w:t>
      </w:r>
      <w:proofErr w:type="spellEnd"/>
      <w:r w:rsidRPr="00576C3D">
        <w:t xml:space="preserve"> sikre at antallet CBAM-sertifikater på </w:t>
      </w:r>
      <w:proofErr w:type="spellStart"/>
      <w:r w:rsidRPr="00576C3D">
        <w:t>vedkommendes</w:t>
      </w:r>
      <w:proofErr w:type="spellEnd"/>
      <w:r w:rsidRPr="00576C3D">
        <w:t xml:space="preserve"> konto i CBAM-registeret ved utgangen av hvert kvartal tilsvarer minst 50 % av de innbakte utslippene fra alle varer </w:t>
      </w:r>
      <w:proofErr w:type="spellStart"/>
      <w:r w:rsidRPr="00576C3D">
        <w:t>deklaranten</w:t>
      </w:r>
      <w:proofErr w:type="spellEnd"/>
      <w:r w:rsidRPr="00576C3D">
        <w:t xml:space="preserve"> har importert siden begynnelsen av kalenderåret, bestemt ved henvisning til enten</w:t>
      </w:r>
    </w:p>
    <w:p w14:paraId="31498A99" w14:textId="77777777" w:rsidR="005D314E" w:rsidRPr="00576C3D" w:rsidRDefault="005D314E" w:rsidP="00576C3D">
      <w:pPr>
        <w:pStyle w:val="friliste4"/>
      </w:pPr>
      <w:r w:rsidRPr="00576C3D">
        <w:t>a)</w:t>
      </w:r>
      <w:r w:rsidRPr="00576C3D">
        <w:tab/>
        <w:t>standardverdier i samsvar med metodene fastsatt i vedlegg IV uten påslaget omhandlet i nr. 4.1 i det nevnte vedlegget, eller</w:t>
      </w:r>
    </w:p>
    <w:p w14:paraId="6D56EA05" w14:textId="77777777" w:rsidR="005D314E" w:rsidRPr="00576C3D" w:rsidRDefault="005D314E" w:rsidP="00576C3D">
      <w:pPr>
        <w:pStyle w:val="friliste4"/>
      </w:pPr>
      <w:r w:rsidRPr="00576C3D">
        <w:t>b)</w:t>
      </w:r>
      <w:r w:rsidRPr="00576C3D">
        <w:tab/>
        <w:t xml:space="preserve">antallet CBAM-sertifikater som er innlevert i samsvar med nr. 1 for det siste kalenderåret før innleveringsåret, forutsatt at tolldeklarasjonen for import av varer refererer til de samme varene etter KN-kode og opprinnelsesland som CBAM-erklæringen innsendt i det siste kalenderåret før </w:t>
      </w:r>
      <w:proofErr w:type="gramStart"/>
      <w:r w:rsidRPr="00576C3D">
        <w:t>det inneværende</w:t>
      </w:r>
      <w:proofErr w:type="gramEnd"/>
      <w:r w:rsidRPr="00576C3D">
        <w:t xml:space="preserve"> året.</w:t>
      </w:r>
    </w:p>
    <w:p w14:paraId="3A5CA4DF" w14:textId="77777777" w:rsidR="005D314E" w:rsidRPr="00576C3D" w:rsidRDefault="005D314E" w:rsidP="00576C3D">
      <w:pPr>
        <w:pStyle w:val="Listeavsnitt3"/>
      </w:pPr>
      <w:r w:rsidRPr="00576C3D">
        <w:t xml:space="preserve">Ved </w:t>
      </w:r>
      <w:proofErr w:type="gramStart"/>
      <w:r w:rsidRPr="00576C3D">
        <w:t>anvendelsen</w:t>
      </w:r>
      <w:proofErr w:type="gramEnd"/>
      <w:r w:rsidRPr="00576C3D">
        <w:t xml:space="preserve"> av dette nummeret skal det tas hensyn til justeringen for vederlagsfri tildeling som er nevnt i artikkel 31.».</w:t>
      </w:r>
    </w:p>
    <w:p w14:paraId="0F2DDDF3" w14:textId="77777777" w:rsidR="005D314E" w:rsidRPr="00576C3D" w:rsidRDefault="005D314E" w:rsidP="00576C3D">
      <w:pPr>
        <w:pStyle w:val="friliste2"/>
      </w:pPr>
      <w:r w:rsidRPr="00576C3D">
        <w:t>c)</w:t>
      </w:r>
      <w:r w:rsidRPr="00576C3D">
        <w:tab/>
        <w:t>Nytt nummer skal lyde:</w:t>
      </w:r>
    </w:p>
    <w:p w14:paraId="6DA86C12" w14:textId="77777777" w:rsidR="005D314E" w:rsidRPr="00576C3D" w:rsidRDefault="005D314E" w:rsidP="00576C3D">
      <w:pPr>
        <w:pStyle w:val="friliste3"/>
      </w:pPr>
      <w:r w:rsidRPr="00576C3D">
        <w:t>«2a.</w:t>
      </w:r>
      <w:r w:rsidRPr="00576C3D">
        <w:tab/>
        <w:t>Den autoriserte CBAM-</w:t>
      </w:r>
      <w:proofErr w:type="spellStart"/>
      <w:r w:rsidRPr="00576C3D">
        <w:t>deklaranten</w:t>
      </w:r>
      <w:proofErr w:type="spellEnd"/>
      <w:r w:rsidRPr="00576C3D">
        <w:t xml:space="preserve"> skal oppfylle forpliktelsen fastsatt i nr. 2 innen utgangen av kvartalet som følger etter det kvartalet der den samlede massebaserte terskelverdien </w:t>
      </w:r>
      <w:proofErr w:type="spellStart"/>
      <w:r w:rsidRPr="00576C3D">
        <w:t>overskrides</w:t>
      </w:r>
      <w:proofErr w:type="spellEnd"/>
      <w:r w:rsidRPr="00576C3D">
        <w:t>.».</w:t>
      </w:r>
    </w:p>
    <w:p w14:paraId="7146E29A" w14:textId="77777777" w:rsidR="005D314E" w:rsidRPr="00576C3D" w:rsidRDefault="005D314E" w:rsidP="00576C3D">
      <w:pPr>
        <w:pStyle w:val="friliste"/>
      </w:pPr>
      <w:r w:rsidRPr="00576C3D">
        <w:t>19)</w:t>
      </w:r>
      <w:r w:rsidRPr="00576C3D">
        <w:tab/>
        <w:t>I artikkel 23 gjøres følgende endringer:</w:t>
      </w:r>
    </w:p>
    <w:p w14:paraId="477015B9" w14:textId="77777777" w:rsidR="005D314E" w:rsidRPr="00576C3D" w:rsidRDefault="005D314E" w:rsidP="00576C3D">
      <w:pPr>
        <w:pStyle w:val="friliste2"/>
      </w:pPr>
      <w:r w:rsidRPr="00576C3D">
        <w:t>a)</w:t>
      </w:r>
      <w:r w:rsidRPr="00576C3D">
        <w:tab/>
        <w:t>I nr. 1 skal andre ledd lyde:</w:t>
      </w:r>
    </w:p>
    <w:p w14:paraId="31FE23B6" w14:textId="77777777" w:rsidR="005D314E" w:rsidRPr="00576C3D" w:rsidRDefault="005D314E" w:rsidP="00576C3D">
      <w:pPr>
        <w:pStyle w:val="Listeavsnitt2"/>
      </w:pPr>
      <w:r w:rsidRPr="00576C3D">
        <w:t>«Kommisjonen skal kjøpe tilbake de overskytende CBAM-sertifikatene gjennom den felles sentrale plattformen nevnt i artikkel 20 på vegne av medlemsstaten der den autoriserte CBAM-</w:t>
      </w:r>
      <w:proofErr w:type="spellStart"/>
      <w:r w:rsidRPr="00576C3D">
        <w:t>deklaranten</w:t>
      </w:r>
      <w:proofErr w:type="spellEnd"/>
      <w:r w:rsidRPr="00576C3D">
        <w:t xml:space="preserve"> er etablert. Den autoriserte CBAM-</w:t>
      </w:r>
      <w:proofErr w:type="spellStart"/>
      <w:r w:rsidRPr="00576C3D">
        <w:t>deklaranten</w:t>
      </w:r>
      <w:proofErr w:type="spellEnd"/>
      <w:r w:rsidRPr="00576C3D">
        <w:t xml:space="preserve"> skal sende inn anmodningen om tilbakekjøp innen 31. oktober hvert år for de årene det ble innlevert CBAM-sertifikater.».</w:t>
      </w:r>
    </w:p>
    <w:p w14:paraId="7DACDE39" w14:textId="77777777" w:rsidR="005D314E" w:rsidRPr="00576C3D" w:rsidRDefault="005D314E" w:rsidP="00576C3D">
      <w:pPr>
        <w:pStyle w:val="friliste2"/>
      </w:pPr>
      <w:r w:rsidRPr="00576C3D">
        <w:t>b)</w:t>
      </w:r>
      <w:r w:rsidRPr="00576C3D">
        <w:tab/>
        <w:t>Nr. 2 skal lyde:</w:t>
      </w:r>
    </w:p>
    <w:p w14:paraId="6BD61A21" w14:textId="77777777" w:rsidR="005D314E" w:rsidRPr="00576C3D" w:rsidRDefault="005D314E" w:rsidP="00576C3D">
      <w:pPr>
        <w:pStyle w:val="friliste3"/>
      </w:pPr>
      <w:r w:rsidRPr="00576C3D">
        <w:t>«2.</w:t>
      </w:r>
      <w:r w:rsidRPr="00576C3D">
        <w:tab/>
        <w:t>Antall CBAM-sertifikater som er gjenstand for tilbakekjøp som nevnt i nr. 1, skal begrenses til det samlede antallet CBAM-sertifikater som den autoriserte CBAM-</w:t>
      </w:r>
      <w:proofErr w:type="spellStart"/>
      <w:r w:rsidRPr="00576C3D">
        <w:t>deklaranten</w:t>
      </w:r>
      <w:proofErr w:type="spellEnd"/>
      <w:r w:rsidRPr="00576C3D">
        <w:t xml:space="preserve"> hadde plikt til å kjøpe i henhold til artikkel 22 nr. 2 i løpet av kalenderåret der CBAM-sertifikatene ble kjøpt.</w:t>
      </w:r>
    </w:p>
    <w:p w14:paraId="0FB553B6" w14:textId="77777777" w:rsidR="005D314E" w:rsidRPr="00576C3D" w:rsidRDefault="005D314E" w:rsidP="00576C3D">
      <w:pPr>
        <w:pStyle w:val="Listeavsnitt3"/>
      </w:pPr>
      <w:r w:rsidRPr="00576C3D">
        <w:t>Dersom en autorisert CBAM-</w:t>
      </w:r>
      <w:proofErr w:type="spellStart"/>
      <w:r w:rsidRPr="00576C3D">
        <w:t>deklarant</w:t>
      </w:r>
      <w:proofErr w:type="spellEnd"/>
      <w:r w:rsidRPr="00576C3D">
        <w:t xml:space="preserve"> som har kjøpt CBAM-sertifikater i et kalenderår på grunnlag av en forventning om å overskride den samlede massebaserte terskelverdien, ikke overskrider en slik terskelverdi, skal alle disse CBAM-sertifikatene kjøpes tilbake på anmodning fra den autoriserte CBAM-</w:t>
      </w:r>
      <w:proofErr w:type="spellStart"/>
      <w:r w:rsidRPr="00576C3D">
        <w:t>deklaranten</w:t>
      </w:r>
      <w:proofErr w:type="spellEnd"/>
      <w:r w:rsidRPr="00576C3D">
        <w:t xml:space="preserve"> i henhold til nr. 1 i denne artikkelen.»</w:t>
      </w:r>
    </w:p>
    <w:p w14:paraId="3A591A00" w14:textId="77777777" w:rsidR="005D314E" w:rsidRPr="00576C3D" w:rsidRDefault="005D314E" w:rsidP="00576C3D">
      <w:pPr>
        <w:pStyle w:val="friliste2"/>
      </w:pPr>
      <w:r w:rsidRPr="00576C3D">
        <w:t>c)</w:t>
      </w:r>
      <w:r w:rsidRPr="00576C3D">
        <w:tab/>
        <w:t>Nytt nummer skal lyde:</w:t>
      </w:r>
    </w:p>
    <w:p w14:paraId="07474446" w14:textId="77777777" w:rsidR="005D314E" w:rsidRPr="00576C3D" w:rsidRDefault="005D314E" w:rsidP="00576C3D">
      <w:pPr>
        <w:pStyle w:val="friliste3"/>
      </w:pPr>
      <w:r w:rsidRPr="00576C3D">
        <w:t>«2a.</w:t>
      </w:r>
      <w:r w:rsidRPr="00576C3D">
        <w:tab/>
        <w:t>Som unntak fra nr. 2 kan CBAM-sertifikater som er kjøpt i 2027 med hensyn til innbakte utslipp for året 2026, bare kjøpes tilbake i 2027.».</w:t>
      </w:r>
    </w:p>
    <w:p w14:paraId="5412F5D7" w14:textId="77777777" w:rsidR="005D314E" w:rsidRPr="00576C3D" w:rsidRDefault="005D314E" w:rsidP="00576C3D">
      <w:pPr>
        <w:pStyle w:val="friliste"/>
      </w:pPr>
      <w:r w:rsidRPr="00576C3D">
        <w:t>20)</w:t>
      </w:r>
      <w:r w:rsidRPr="00576C3D">
        <w:tab/>
        <w:t>Artikkel 24 skal lyde:</w:t>
      </w:r>
    </w:p>
    <w:p w14:paraId="766E0CB9" w14:textId="77777777" w:rsidR="005D314E" w:rsidRPr="00576C3D" w:rsidRDefault="005D314E" w:rsidP="00576C3D">
      <w:pPr>
        <w:pStyle w:val="Listeavsnitt"/>
        <w:rPr>
          <w:rStyle w:val="kursiv"/>
        </w:rPr>
      </w:pPr>
      <w:r w:rsidRPr="00576C3D">
        <w:rPr>
          <w:rStyle w:val="kursiv"/>
        </w:rPr>
        <w:t>«Artikkel 24</w:t>
      </w:r>
    </w:p>
    <w:p w14:paraId="76EB0A51" w14:textId="77777777" w:rsidR="005D314E" w:rsidRPr="00576C3D" w:rsidRDefault="005D314E" w:rsidP="00576C3D">
      <w:pPr>
        <w:pStyle w:val="Listeavsnitt"/>
        <w:rPr>
          <w:rStyle w:val="halvfet0"/>
        </w:rPr>
      </w:pPr>
      <w:r w:rsidRPr="00576C3D">
        <w:rPr>
          <w:rStyle w:val="halvfet0"/>
        </w:rPr>
        <w:t>Sletting av CBAM-sertifikater</w:t>
      </w:r>
    </w:p>
    <w:p w14:paraId="31F7C208" w14:textId="77777777" w:rsidR="005D314E" w:rsidRPr="00576C3D" w:rsidRDefault="005D314E" w:rsidP="00576C3D">
      <w:pPr>
        <w:pStyle w:val="friliste2"/>
      </w:pPr>
      <w:r w:rsidRPr="00576C3D">
        <w:t>1.</w:t>
      </w:r>
      <w:r w:rsidRPr="00576C3D">
        <w:tab/>
        <w:t>Den 1. november hvert år skal Kommisjonen slette alle CBAM-sertifikater som ble kjøpt i løpet av året før det foregående kalenderåret, og som ble stående på kontoen til en autorisert CBAM-</w:t>
      </w:r>
      <w:proofErr w:type="spellStart"/>
      <w:r w:rsidRPr="00576C3D">
        <w:t>deklarant</w:t>
      </w:r>
      <w:proofErr w:type="spellEnd"/>
      <w:r w:rsidRPr="00576C3D">
        <w:t xml:space="preserve"> i CBAM-registeret. Disse CBAM-sertifikatene skal slettes uten kompensasjon.</w:t>
      </w:r>
    </w:p>
    <w:p w14:paraId="08DB8972" w14:textId="77777777" w:rsidR="005D314E" w:rsidRPr="00576C3D" w:rsidRDefault="005D314E" w:rsidP="00576C3D">
      <w:pPr>
        <w:pStyle w:val="friliste2"/>
      </w:pPr>
      <w:r w:rsidRPr="00576C3D">
        <w:t>2.</w:t>
      </w:r>
      <w:r w:rsidRPr="00576C3D">
        <w:tab/>
        <w:t>Som unntak fra nr. 1 skal Kommisjonen den 1. november 2027 slette alle CBAM-sertifikater som er kjøpt med hensyn til innbakte utslipp for året 2026. Disse CBAM-sertifikatene skal slettes uten kompensasjon.</w:t>
      </w:r>
    </w:p>
    <w:p w14:paraId="69349A67" w14:textId="77777777" w:rsidR="005D314E" w:rsidRPr="00576C3D" w:rsidRDefault="005D314E" w:rsidP="00576C3D">
      <w:pPr>
        <w:pStyle w:val="friliste2"/>
      </w:pPr>
      <w:r w:rsidRPr="00576C3D">
        <w:t>3.</w:t>
      </w:r>
      <w:r w:rsidRPr="00576C3D">
        <w:tab/>
        <w:t>Dersom antallet CBAM-sertifikater som skal innleveres, bestrides i en pågående tvist i en medlemsstat, skal Kommisjonen suspendere slettingen av CBAM-sertifikatene i et omfang som tilsvarer det omtvistede beløpet. Vedkommende myndighet i medlemsstaten der den autoriserte CBAM-</w:t>
      </w:r>
      <w:proofErr w:type="spellStart"/>
      <w:r w:rsidRPr="00576C3D">
        <w:t>deklaranten</w:t>
      </w:r>
      <w:proofErr w:type="spellEnd"/>
      <w:r w:rsidRPr="00576C3D">
        <w:t xml:space="preserve"> er etablert, skal uten opphold oversende alle relevante opplysninger til Kommisjonen.».</w:t>
      </w:r>
    </w:p>
    <w:p w14:paraId="22143FE8" w14:textId="77777777" w:rsidR="005D314E" w:rsidRPr="00576C3D" w:rsidRDefault="005D314E" w:rsidP="00576C3D">
      <w:pPr>
        <w:pStyle w:val="friliste"/>
      </w:pPr>
      <w:r w:rsidRPr="00576C3D">
        <w:t>21)</w:t>
      </w:r>
      <w:r w:rsidRPr="00576C3D">
        <w:tab/>
        <w:t>I artikkel 25 skal nr. 1–4 lyde:</w:t>
      </w:r>
    </w:p>
    <w:p w14:paraId="7DE45CA0" w14:textId="77777777" w:rsidR="005D314E" w:rsidRPr="00576C3D" w:rsidRDefault="005D314E" w:rsidP="00576C3D">
      <w:pPr>
        <w:pStyle w:val="friliste2"/>
      </w:pPr>
      <w:r w:rsidRPr="00576C3D">
        <w:t>«1.</w:t>
      </w:r>
      <w:r w:rsidRPr="00576C3D">
        <w:tab/>
        <w:t>Uten at det berører artikkel 2a, skal tollmyndighetene ikke tillate at varer importeres av andre personer enn en autorisert CBAM-</w:t>
      </w:r>
      <w:proofErr w:type="spellStart"/>
      <w:r w:rsidRPr="00576C3D">
        <w:t>deklarant</w:t>
      </w:r>
      <w:proofErr w:type="spellEnd"/>
      <w:r w:rsidRPr="00576C3D">
        <w:t>.</w:t>
      </w:r>
    </w:p>
    <w:p w14:paraId="3CC272EA" w14:textId="77777777" w:rsidR="005D314E" w:rsidRPr="00576C3D" w:rsidRDefault="005D314E" w:rsidP="00576C3D">
      <w:pPr>
        <w:pStyle w:val="friliste2"/>
      </w:pPr>
      <w:r w:rsidRPr="00576C3D">
        <w:t>2.</w:t>
      </w:r>
      <w:r w:rsidRPr="00576C3D">
        <w:tab/>
        <w:t>Tollmyndighetene skal periodisk og automatisk, særlig ved hjelp av tilsynsmekanismen som er fastsatt i henhold til artikkel 56 nr. 5 i forordning (EU) nr. 952/2013, meddele Kommisjonen spesifikke opplysninger om varene som er deklarert for import. Disse opplysningene skal omfatte importørens eller den autoriserte CBAM-</w:t>
      </w:r>
      <w:proofErr w:type="spellStart"/>
      <w:r w:rsidRPr="00576C3D">
        <w:t>deklarantens</w:t>
      </w:r>
      <w:proofErr w:type="spellEnd"/>
      <w:r w:rsidRPr="00576C3D">
        <w:t xml:space="preserve"> EORI-nummer eller identifikasjonsform som er meddelt i samsvar med artikkel 6 nr. 2 i delegert forordning (EU) 2015/2446, den autoriserte CBAM-</w:t>
      </w:r>
      <w:proofErr w:type="spellStart"/>
      <w:r w:rsidRPr="00576C3D">
        <w:t>deklarantens</w:t>
      </w:r>
      <w:proofErr w:type="spellEnd"/>
      <w:r w:rsidRPr="00576C3D">
        <w:t xml:space="preserve"> CBAM-kontonummer, varenes </w:t>
      </w:r>
      <w:proofErr w:type="spellStart"/>
      <w:r w:rsidRPr="00576C3D">
        <w:t>åttesifrede</w:t>
      </w:r>
      <w:proofErr w:type="spellEnd"/>
      <w:r w:rsidRPr="00576C3D">
        <w:t xml:space="preserve"> KN-kode, mengde, opprinnelsesland, datoen for tolldeklarasjonen og tollprosedyren. Dersom importøren ikke har et EORI-nummer, skal tollmyndighetene også meddele Kommisjonen importørens navn og adresse, samt kontaktopplysninger der slike er tilgjengelige.</w:t>
      </w:r>
    </w:p>
    <w:p w14:paraId="0ABF608A" w14:textId="77777777" w:rsidR="005D314E" w:rsidRPr="00576C3D" w:rsidRDefault="005D314E" w:rsidP="00576C3D">
      <w:pPr>
        <w:pStyle w:val="friliste2"/>
      </w:pPr>
      <w:r w:rsidRPr="00576C3D">
        <w:t>3.</w:t>
      </w:r>
      <w:r w:rsidRPr="00576C3D">
        <w:tab/>
        <w:t>Kommisjonen skal periodisk oversende opplysningene nevnt i nr. 2 i denne artikkelen til vedkommende myndighet i medlemsstaten der den autoriserte CBAM-</w:t>
      </w:r>
      <w:proofErr w:type="spellStart"/>
      <w:r w:rsidRPr="00576C3D">
        <w:t>deklaranten</w:t>
      </w:r>
      <w:proofErr w:type="spellEnd"/>
      <w:r w:rsidRPr="00576C3D">
        <w:t xml:space="preserve"> eller importøren er etablert, og skal for hver CBAM-</w:t>
      </w:r>
      <w:proofErr w:type="spellStart"/>
      <w:r w:rsidRPr="00576C3D">
        <w:t>deklarant</w:t>
      </w:r>
      <w:proofErr w:type="spellEnd"/>
      <w:r w:rsidRPr="00576C3D">
        <w:t xml:space="preserve"> kryssjekke disse opplysningene med opplysningene i CBAM-registeret i henhold til artikkel 14.</w:t>
      </w:r>
    </w:p>
    <w:p w14:paraId="6AE74654" w14:textId="77777777" w:rsidR="005D314E" w:rsidRPr="00576C3D" w:rsidRDefault="005D314E" w:rsidP="00576C3D">
      <w:pPr>
        <w:pStyle w:val="friliste2"/>
      </w:pPr>
      <w:r w:rsidRPr="00576C3D">
        <w:t>4.</w:t>
      </w:r>
      <w:r w:rsidRPr="00576C3D">
        <w:tab/>
        <w:t>Tollmyndighetene kan i henhold til artikkel 12 nr. 1 i forordning (EU) nr. 952/2013 oversende fortrolige opplysninger som de har innhentet under utførelsen av sine oppgaver, eller som er gitt til tollmyndighetene på fortrolig grunnlag, til Kommisjonen og til vedkommende myndighet i medlemsstaten som har tildelt status som autorisert CBAM-</w:t>
      </w:r>
      <w:proofErr w:type="spellStart"/>
      <w:r w:rsidRPr="00576C3D">
        <w:t>deklarant</w:t>
      </w:r>
      <w:proofErr w:type="spellEnd"/>
      <w:r w:rsidRPr="00576C3D">
        <w:t>, eller til vedkommende myndighet i medlemsstaten der den autoriserte CBAM-</w:t>
      </w:r>
      <w:proofErr w:type="spellStart"/>
      <w:r w:rsidRPr="00576C3D">
        <w:t>deklaranten</w:t>
      </w:r>
      <w:proofErr w:type="spellEnd"/>
      <w:r w:rsidRPr="00576C3D">
        <w:t xml:space="preserve"> eller importøren er etablert.».</w:t>
      </w:r>
    </w:p>
    <w:p w14:paraId="4581E732" w14:textId="77777777" w:rsidR="005D314E" w:rsidRPr="00576C3D" w:rsidRDefault="005D314E" w:rsidP="00576C3D">
      <w:pPr>
        <w:pStyle w:val="friliste"/>
      </w:pPr>
      <w:r w:rsidRPr="00576C3D">
        <w:t>22)</w:t>
      </w:r>
      <w:r w:rsidRPr="00576C3D">
        <w:tab/>
        <w:t>Følgende artikkel innsettes:</w:t>
      </w:r>
    </w:p>
    <w:p w14:paraId="238F4B8C" w14:textId="77777777" w:rsidR="005D314E" w:rsidRPr="00576C3D" w:rsidRDefault="005D314E" w:rsidP="00576C3D">
      <w:pPr>
        <w:pStyle w:val="Listeavsnitt"/>
        <w:rPr>
          <w:rStyle w:val="kursiv"/>
        </w:rPr>
      </w:pPr>
      <w:r w:rsidRPr="00576C3D">
        <w:rPr>
          <w:rStyle w:val="kursiv"/>
        </w:rPr>
        <w:t>«Artikkel 25a</w:t>
      </w:r>
    </w:p>
    <w:p w14:paraId="4B52004B" w14:textId="77777777" w:rsidR="005D314E" w:rsidRPr="00576C3D" w:rsidRDefault="005D314E" w:rsidP="00576C3D">
      <w:pPr>
        <w:pStyle w:val="Listeavsnitt"/>
        <w:rPr>
          <w:rStyle w:val="halvfet0"/>
        </w:rPr>
      </w:pPr>
      <w:r w:rsidRPr="00576C3D">
        <w:rPr>
          <w:rStyle w:val="halvfet0"/>
        </w:rPr>
        <w:t>Overvåking og håndheving av den samlede massebaserte terskelverdien</w:t>
      </w:r>
    </w:p>
    <w:p w14:paraId="23E20D32" w14:textId="77777777" w:rsidR="005D314E" w:rsidRPr="00576C3D" w:rsidRDefault="005D314E" w:rsidP="00576C3D">
      <w:pPr>
        <w:pStyle w:val="friliste2"/>
      </w:pPr>
      <w:r w:rsidRPr="00576C3D">
        <w:t>1.</w:t>
      </w:r>
      <w:r w:rsidRPr="00576C3D">
        <w:tab/>
        <w:t>Kommisjonen skal overvåke importen av varer med sikte på å overvåke at den samlede massebaserte terskelverdien overholdes.</w:t>
      </w:r>
    </w:p>
    <w:p w14:paraId="322109BC" w14:textId="77777777" w:rsidR="005D314E" w:rsidRPr="00576C3D" w:rsidRDefault="005D314E" w:rsidP="00576C3D">
      <w:pPr>
        <w:pStyle w:val="Listeavsnitt2"/>
      </w:pPr>
      <w:r w:rsidRPr="00576C3D">
        <w:t>Vedkommende myndigheter i medlemsstaten der importøren er etablert, kan også overvåke overholdelsen av den samlede massebaserte terskelverdien.</w:t>
      </w:r>
    </w:p>
    <w:p w14:paraId="387F5195" w14:textId="77777777" w:rsidR="005D314E" w:rsidRPr="00576C3D" w:rsidRDefault="005D314E" w:rsidP="00576C3D">
      <w:pPr>
        <w:pStyle w:val="Listeavsnitt2"/>
      </w:pPr>
      <w:r w:rsidRPr="00576C3D">
        <w:t>Kommisjonen skal periodisk og automatisk utveksle med vedkommende myndigheter opplysninger som er nødvendige for å føre tilsyn med importører via CBAM-registeret. Slike opplysninger skal omfatte en liste over importører som overskrider 90 % av den samlede massebaserte terskelverdien.</w:t>
      </w:r>
    </w:p>
    <w:p w14:paraId="07698445" w14:textId="77777777" w:rsidR="005D314E" w:rsidRPr="00576C3D" w:rsidRDefault="005D314E" w:rsidP="00576C3D">
      <w:pPr>
        <w:pStyle w:val="friliste2"/>
      </w:pPr>
      <w:r w:rsidRPr="00576C3D">
        <w:t>2.</w:t>
      </w:r>
      <w:r w:rsidRPr="00576C3D">
        <w:tab/>
        <w:t>Dersom Kommisjonen på grunnlag av en foreløpig vurdering og opplysningene som tollmyndighetene har oversendt Kommisjonen i henhold til artikkel 25 nr. 2, anser at en importør har overskredet den samlede massebaserte terskelverdien, skal den oversende disse opplysningene samt grunnlaget for sin foreløpige vurdering til vedkommende myndighet i medlemsstaten der importøren er etablert.</w:t>
      </w:r>
    </w:p>
    <w:p w14:paraId="7603F4F3" w14:textId="77777777" w:rsidR="005D314E" w:rsidRPr="00576C3D" w:rsidRDefault="005D314E" w:rsidP="00576C3D">
      <w:pPr>
        <w:pStyle w:val="Listeavsnitt2"/>
      </w:pPr>
      <w:r w:rsidRPr="00576C3D">
        <w:t>Vedkommende myndighet kan anmode om at importøren eller Kommisjonen framlegger dokumentasjon som er nødvendig for å vurdere om importøren har overskredet den samlede massebaserte terskelverdien. Dersom dokumentasjonen ikke er tilstrekkelig til å vurdere om importøren har overskredet denne terskelverdien, kan vedkommende myndigheter kreve ytterligere dokumentasjon fra tollmyndighetene dersom slik dokumentasjon foreligger.</w:t>
      </w:r>
    </w:p>
    <w:p w14:paraId="10D8FCBA" w14:textId="77777777" w:rsidR="005D314E" w:rsidRPr="00576C3D" w:rsidRDefault="005D314E" w:rsidP="00576C3D">
      <w:pPr>
        <w:pStyle w:val="friliste2"/>
      </w:pPr>
      <w:r w:rsidRPr="00576C3D">
        <w:t>3.</w:t>
      </w:r>
      <w:r w:rsidRPr="00576C3D">
        <w:tab/>
        <w:t>Dersom vedkommende myndighet konkluderer med at en importør som ikke er en autorisert CBAM-</w:t>
      </w:r>
      <w:proofErr w:type="spellStart"/>
      <w:r w:rsidRPr="00576C3D">
        <w:t>deklarant</w:t>
      </w:r>
      <w:proofErr w:type="spellEnd"/>
      <w:r w:rsidRPr="00576C3D">
        <w:t>, har overskredet den samlede massebaserte terskelverdien, skal den uten unødig opphold treffe en beslutning om dette. Beslutningen skal begrunnes og inneholde opplysninger om klageadgang. Vedkommende myndighet skal underrette importøren om de forpliktelser som gjelder i henhold til denne forordningen, herunder, dersom det er relevant, plikten til å oppnå status som autorisert CBAM-</w:t>
      </w:r>
      <w:proofErr w:type="spellStart"/>
      <w:r w:rsidRPr="00576C3D">
        <w:t>deklarant</w:t>
      </w:r>
      <w:proofErr w:type="spellEnd"/>
      <w:r w:rsidRPr="00576C3D">
        <w:t xml:space="preserve"> i samsvar med artikkel 5 før import av ytterligere varer. Vedkommende myndighet skal også underrette tollmyndighetene og Kommisjonen om denne beslutningen via CBAM-registeret.</w:t>
      </w:r>
    </w:p>
    <w:p w14:paraId="6F641527" w14:textId="77777777" w:rsidR="005D314E" w:rsidRPr="00576C3D" w:rsidRDefault="005D314E" w:rsidP="00576C3D">
      <w:pPr>
        <w:pStyle w:val="Listeavsnitt2"/>
      </w:pPr>
      <w:r w:rsidRPr="00576C3D">
        <w:t>Dersom en importør er representert ved en eller flere indirekte tollrepresentanter og overskrider den samlede massebaserte terskelverdien, skal vedkommende myndighet underrette de indirekte tollrepresentantene som er oppnevnt i samsvar med artikkel 5 nr. 1a eller artikkel 5 nr. 2.</w:t>
      </w:r>
    </w:p>
    <w:p w14:paraId="6D8C721A" w14:textId="77777777" w:rsidR="005D314E" w:rsidRPr="00576C3D" w:rsidRDefault="005D314E" w:rsidP="00576C3D">
      <w:pPr>
        <w:pStyle w:val="Listeavsnitt2"/>
      </w:pPr>
      <w:r w:rsidRPr="00576C3D">
        <w:t>En klage på et vedtak som fastslår at importøren har overskredet den samlede massebaserte terskelverdien, skal ikke ha oppsettende virkning.</w:t>
      </w:r>
    </w:p>
    <w:p w14:paraId="40022FE1" w14:textId="77777777" w:rsidR="005D314E" w:rsidRPr="00576C3D" w:rsidRDefault="005D314E" w:rsidP="00576C3D">
      <w:pPr>
        <w:pStyle w:val="friliste2"/>
      </w:pPr>
      <w:r w:rsidRPr="00576C3D">
        <w:t>4.</w:t>
      </w:r>
      <w:r w:rsidRPr="00576C3D">
        <w:tab/>
        <w:t>For å avgjøre om en importør har overskredet den samlede massebaserte terskelverdien, skal vedkommende myndighet se bort fra en praksis, ordning eller serie av slike som er innført med hovedformål eller som ett av sine hovedformål å bringe importøren under den samlede massebaserte terskelverdien, og som ikke er reell.</w:t>
      </w:r>
    </w:p>
    <w:p w14:paraId="2EF39BE3" w14:textId="77777777" w:rsidR="005D314E" w:rsidRPr="00576C3D" w:rsidRDefault="005D314E" w:rsidP="00576C3D">
      <w:pPr>
        <w:pStyle w:val="Listeavsnitt2"/>
      </w:pPr>
      <w:r w:rsidRPr="00576C3D">
        <w:t>En praksis, ordning eller en serie av slike skal anses som ikke reell dersom den, idet det tas hensyn til alle relevante fakta og omstendigheter, ikke kan anses å ha blitt innført av gyldige kommersielle grunner knyttet til importørens økonomiske virksomhet.</w:t>
      </w:r>
    </w:p>
    <w:p w14:paraId="52B02270" w14:textId="77777777" w:rsidR="005D314E" w:rsidRPr="00576C3D" w:rsidRDefault="005D314E" w:rsidP="00576C3D">
      <w:pPr>
        <w:pStyle w:val="Listeavsnitt2"/>
      </w:pPr>
      <w:r w:rsidRPr="00576C3D">
        <w:t>Med henblikk på artikkel 17 nr. 2 bokstav a) og artikkel 26 nr. 2a skal importøren anses å ha vært involvert i en alvorlig overtredelse av denne forordningen dersom vedkommende myndighet konkluderer med at importøren har utøvet en praksis, en ordning eller en serie av slike, som anses ikke å være reell.</w:t>
      </w:r>
    </w:p>
    <w:p w14:paraId="4A260DC2" w14:textId="77777777" w:rsidR="005D314E" w:rsidRPr="00576C3D" w:rsidRDefault="005D314E" w:rsidP="00576C3D">
      <w:pPr>
        <w:pStyle w:val="friliste2"/>
      </w:pPr>
      <w:r w:rsidRPr="00576C3D">
        <w:t>5.</w:t>
      </w:r>
      <w:r w:rsidRPr="00576C3D">
        <w:tab/>
        <w:t>Med henblikk på overvåkingen i henhold til denne artikkel skal Kommisjonen med jevne mellomrom, minst én gang per kalenderår eller når det er nødvendig, identifisere spesifikke risikofaktorer og punkter som krever oppmerksomhet på grunnlag av en risikoanalyse i forbindelse med den samlede massebaserte terskelverdien, idet det tas hensyn til opplysningene i CBAM-registeret, opplysningene fra tollmyndighetene i samsvar med artikkel 25 og andre relevante informasjonskilder, herunder uregelmessigheter som er påvist som følge av kontrollene som er utført i samsvar med artikkel 15 nr. 1. Disse risikofaktorene og forholdene skal meddeles vedkommende myndigheter og, dersom det er relevant, tollmyndighetene.».</w:t>
      </w:r>
    </w:p>
    <w:p w14:paraId="30EABAF9" w14:textId="77777777" w:rsidR="005D314E" w:rsidRPr="00576C3D" w:rsidRDefault="005D314E" w:rsidP="00576C3D">
      <w:pPr>
        <w:pStyle w:val="friliste"/>
      </w:pPr>
      <w:r w:rsidRPr="00576C3D">
        <w:t>23)</w:t>
      </w:r>
      <w:r w:rsidRPr="00576C3D">
        <w:tab/>
        <w:t>I artikkel 26 gjøres følgende endringer:</w:t>
      </w:r>
    </w:p>
    <w:p w14:paraId="3813A0B9" w14:textId="77777777" w:rsidR="005D314E" w:rsidRPr="00576C3D" w:rsidRDefault="005D314E" w:rsidP="00576C3D">
      <w:pPr>
        <w:pStyle w:val="friliste2"/>
      </w:pPr>
      <w:r w:rsidRPr="00576C3D">
        <w:t>a)</w:t>
      </w:r>
      <w:r w:rsidRPr="00576C3D">
        <w:tab/>
        <w:t>Nr. 1 skal lyde:</w:t>
      </w:r>
    </w:p>
    <w:p w14:paraId="6409B0DF" w14:textId="77777777" w:rsidR="005D314E" w:rsidRPr="00576C3D" w:rsidRDefault="005D314E" w:rsidP="00576C3D">
      <w:pPr>
        <w:pStyle w:val="friliste3"/>
      </w:pPr>
      <w:r w:rsidRPr="00576C3D">
        <w:t>«1.</w:t>
      </w:r>
      <w:r w:rsidRPr="00576C3D">
        <w:tab/>
        <w:t>En autorisert CBAM-</w:t>
      </w:r>
      <w:proofErr w:type="spellStart"/>
      <w:r w:rsidRPr="00576C3D">
        <w:t>deklarant</w:t>
      </w:r>
      <w:proofErr w:type="spellEnd"/>
      <w:r w:rsidRPr="00576C3D">
        <w:t xml:space="preserve"> som ikke innleverer, innen 30. september hvert år, antallet CBAM-sertifikater som tilsvarer utslippene som er innbakt i varer importert i foregående kalenderår, skal pålegges å betale et overtredelsesgebyr. Et slikt overtredelsesgebyr skal være identisk med boten for utslippsoverskridelse fastsatt i artikkel 16 nr. 3 i direktiv 2003/87/EF og økt i henhold til artikkel 16 nr. 4 i det nevnte direktivet, som gjelder i importåret for varene. Et slikt overtredelsesgebyr skal gjelde for hvert CBAM-sertifikat som den autoriserte CBAM-</w:t>
      </w:r>
      <w:proofErr w:type="spellStart"/>
      <w:r w:rsidRPr="00576C3D">
        <w:t>deklaranten</w:t>
      </w:r>
      <w:proofErr w:type="spellEnd"/>
      <w:r w:rsidRPr="00576C3D">
        <w:t xml:space="preserve"> ikke har innlevert.».</w:t>
      </w:r>
    </w:p>
    <w:p w14:paraId="62D348C8" w14:textId="77777777" w:rsidR="005D314E" w:rsidRPr="00576C3D" w:rsidRDefault="005D314E" w:rsidP="00576C3D">
      <w:pPr>
        <w:pStyle w:val="friliste2"/>
      </w:pPr>
      <w:r w:rsidRPr="00576C3D">
        <w:t>b)</w:t>
      </w:r>
      <w:r w:rsidRPr="00576C3D">
        <w:tab/>
        <w:t>Nytt nummer skal lyde:</w:t>
      </w:r>
    </w:p>
    <w:p w14:paraId="5E9BFE77" w14:textId="77777777" w:rsidR="005D314E" w:rsidRPr="00576C3D" w:rsidRDefault="005D314E" w:rsidP="00576C3D">
      <w:pPr>
        <w:pStyle w:val="friliste3"/>
      </w:pPr>
      <w:r w:rsidRPr="00576C3D">
        <w:t>«1a</w:t>
      </w:r>
      <w:r w:rsidRPr="00576C3D">
        <w:tab/>
        <w:t>Som unntak fra nr. 1 i denne artikkelen kan vedkommende myndighet, dersom en autorisert CBAM-</w:t>
      </w:r>
      <w:proofErr w:type="spellStart"/>
      <w:r w:rsidRPr="00576C3D">
        <w:t>deklarant</w:t>
      </w:r>
      <w:proofErr w:type="spellEnd"/>
      <w:r w:rsidRPr="00576C3D">
        <w:t xml:space="preserve"> ikke innleverer det korrekte antallet CBAM-sertifikater som følge av feilaktige opplysninger fra en tredjepart, nærmere bestemt en operatør, en </w:t>
      </w:r>
      <w:proofErr w:type="spellStart"/>
      <w:r w:rsidRPr="00576C3D">
        <w:t>verifikatør</w:t>
      </w:r>
      <w:proofErr w:type="spellEnd"/>
      <w:r w:rsidRPr="00576C3D">
        <w:t xml:space="preserve"> eller en uavhengig person som sertifiserer dokumentasjonen for karbonprisen nevnt i artikkel 9 nr. 2, redusere overtredelsesgebyret nevnt i nr. 1 i denne artikkelen. Overtredelsesgebyrene som ilegges på denne måten, skal være virkningsfulle, stå i et rimelig forhold til overtredelsen og virke avskrekkende, og skal særlig ta hensyn til varigheten, alvorligheten, omfanget, den forsettlige karakteren eller gjentakelsen av den manglende overholdelsen, eller graden av samarbeid mellom den autoriserte CBAM-</w:t>
      </w:r>
      <w:proofErr w:type="spellStart"/>
      <w:r w:rsidRPr="00576C3D">
        <w:t>deklaranten</w:t>
      </w:r>
      <w:proofErr w:type="spellEnd"/>
      <w:r w:rsidRPr="00576C3D">
        <w:t xml:space="preserve"> og vedkommende myndighet.».</w:t>
      </w:r>
    </w:p>
    <w:p w14:paraId="217E04F5" w14:textId="77777777" w:rsidR="005D314E" w:rsidRPr="00576C3D" w:rsidRDefault="005D314E" w:rsidP="00576C3D">
      <w:pPr>
        <w:pStyle w:val="friliste2"/>
      </w:pPr>
      <w:r w:rsidRPr="00576C3D">
        <w:t>c)</w:t>
      </w:r>
      <w:r w:rsidRPr="00576C3D">
        <w:tab/>
        <w:t>Nytt nummer skal lyde:</w:t>
      </w:r>
    </w:p>
    <w:p w14:paraId="7A90E9CA" w14:textId="77777777" w:rsidR="005D314E" w:rsidRPr="00576C3D" w:rsidRDefault="005D314E" w:rsidP="00576C3D">
      <w:pPr>
        <w:pStyle w:val="friliste3"/>
      </w:pPr>
      <w:r w:rsidRPr="00576C3D">
        <w:t>«2a.</w:t>
      </w:r>
      <w:r w:rsidRPr="00576C3D">
        <w:tab/>
        <w:t xml:space="preserve">Nr. 2 får også </w:t>
      </w:r>
      <w:proofErr w:type="gramStart"/>
      <w:r w:rsidRPr="00576C3D">
        <w:t>anvendelse</w:t>
      </w:r>
      <w:proofErr w:type="gramEnd"/>
      <w:r w:rsidRPr="00576C3D">
        <w:t xml:space="preserve"> på andre importører enn godkjente CBAM-</w:t>
      </w:r>
      <w:proofErr w:type="spellStart"/>
      <w:r w:rsidRPr="00576C3D">
        <w:t>deklaranter</w:t>
      </w:r>
      <w:proofErr w:type="spellEnd"/>
      <w:r w:rsidRPr="00576C3D">
        <w:t xml:space="preserve"> dersom de overskrider den samlede massebaserte terskelverdien. For dette formålet skal det tas hensyn til alle utslippene innbakt i varene som er importert av en slik importør uten tillatelse i det relevante kalenderåret. Betalingen av overtredelsesgebyret fritar importøren fra plikten til å sende inn en CBAM-erklæring og innlevere CBAM-sertifikater for denne importen.</w:t>
      </w:r>
    </w:p>
    <w:p w14:paraId="2465F2D4" w14:textId="77777777" w:rsidR="005D314E" w:rsidRPr="00576C3D" w:rsidRDefault="005D314E" w:rsidP="00576C3D">
      <w:pPr>
        <w:pStyle w:val="Listeavsnitt3"/>
      </w:pPr>
      <w:r w:rsidRPr="00576C3D">
        <w:t>Som unntak fra første ledd i dette nummeret kan vedkommende myndighet redusere overtredelsesgebyret fastsatt i nr. 2 i denne artikkelen dersom en importør har overskredet den samlede massebaserte terskelverdien med høyst 10 % av denne terskelverdien, eller i tilfellene nevnt i artikkel 17 nr. 7a. Et slikt overtredelsesgebyr skal være effektivt, stå i forhold til overtredelsen og virke avskrekkende, og skal ikke være lavere enn gebyret fastsatt i nr. 1. Betalingen av overtredelsesgebyret fritar importøren fra plikten til å sende inn en CBAM-erklæring og innlevere CBAM-sertifikater for denne importen.».</w:t>
      </w:r>
    </w:p>
    <w:p w14:paraId="76218003" w14:textId="77777777" w:rsidR="005D314E" w:rsidRPr="00576C3D" w:rsidRDefault="005D314E" w:rsidP="00576C3D">
      <w:pPr>
        <w:pStyle w:val="friliste2"/>
      </w:pPr>
      <w:r w:rsidRPr="00576C3D">
        <w:t>d)</w:t>
      </w:r>
      <w:r w:rsidRPr="00576C3D">
        <w:tab/>
        <w:t>Artikkel 3 skal lyde:</w:t>
      </w:r>
    </w:p>
    <w:p w14:paraId="7E38DA7D" w14:textId="77777777" w:rsidR="005D314E" w:rsidRPr="00576C3D" w:rsidRDefault="005D314E" w:rsidP="00576C3D">
      <w:pPr>
        <w:pStyle w:val="friliste3"/>
      </w:pPr>
      <w:r w:rsidRPr="00576C3D">
        <w:t>«3.</w:t>
      </w:r>
      <w:r w:rsidRPr="00576C3D">
        <w:tab/>
        <w:t>Betalingen av overtredelsesgebyret i henhold til nr. 1 og 1a skal ikke frita den autoriserte CBAM-</w:t>
      </w:r>
      <w:proofErr w:type="spellStart"/>
      <w:r w:rsidRPr="00576C3D">
        <w:t>deklaranten</w:t>
      </w:r>
      <w:proofErr w:type="spellEnd"/>
      <w:r w:rsidRPr="00576C3D">
        <w:t xml:space="preserve"> fra plikten til å innlevere det utestående antallet CBAM-sertifikater i et gitt år.».</w:t>
      </w:r>
    </w:p>
    <w:p w14:paraId="6622E0B9" w14:textId="77777777" w:rsidR="005D314E" w:rsidRPr="00576C3D" w:rsidRDefault="005D314E" w:rsidP="00576C3D">
      <w:pPr>
        <w:pStyle w:val="friliste2"/>
      </w:pPr>
      <w:r w:rsidRPr="00576C3D">
        <w:t>e)</w:t>
      </w:r>
      <w:r w:rsidRPr="00576C3D">
        <w:tab/>
        <w:t>Nytt nummer skal lyde:</w:t>
      </w:r>
    </w:p>
    <w:p w14:paraId="63140806" w14:textId="77777777" w:rsidR="005D314E" w:rsidRPr="00576C3D" w:rsidRDefault="005D314E" w:rsidP="00576C3D">
      <w:pPr>
        <w:pStyle w:val="friliste3"/>
      </w:pPr>
      <w:r w:rsidRPr="00576C3D">
        <w:t>«4a.</w:t>
      </w:r>
      <w:r w:rsidRPr="00576C3D">
        <w:tab/>
        <w:t xml:space="preserve">Ved </w:t>
      </w:r>
      <w:proofErr w:type="gramStart"/>
      <w:r w:rsidRPr="00576C3D">
        <w:t>anvendelsen</w:t>
      </w:r>
      <w:proofErr w:type="gramEnd"/>
      <w:r w:rsidRPr="00576C3D">
        <w:t xml:space="preserve"> av nr. 1 og 2 i denne artikkelen skal vedkommende myndighet beregne det totale antallet CBAM-sertifikater som burde vært innlevert, basert på nettomassen av de importerte varene og med henvisning til de innbakte utslippene fastsatt ved hjelp av standardverdier i samsvar med metodene fastsatt i vedlegg IV, og idet det tas hensyn til justeringen for vederlagsfri tildeling som nevnt i artikkel 31.».</w:t>
      </w:r>
    </w:p>
    <w:p w14:paraId="1284C0D3" w14:textId="77777777" w:rsidR="005D314E" w:rsidRPr="00576C3D" w:rsidRDefault="005D314E" w:rsidP="00576C3D">
      <w:pPr>
        <w:pStyle w:val="friliste"/>
      </w:pPr>
      <w:r w:rsidRPr="00576C3D">
        <w:t>24)</w:t>
      </w:r>
      <w:r w:rsidRPr="00576C3D">
        <w:tab/>
        <w:t>I artikkel 27 nr. 2 skal bokstav b) lyde:</w:t>
      </w:r>
    </w:p>
    <w:p w14:paraId="09E60EAF" w14:textId="77777777" w:rsidR="005D314E" w:rsidRPr="00576C3D" w:rsidRDefault="005D314E" w:rsidP="00576C3D">
      <w:pPr>
        <w:pStyle w:val="friliste2"/>
      </w:pPr>
      <w:r w:rsidRPr="00576C3D">
        <w:t>«b)</w:t>
      </w:r>
      <w:r w:rsidRPr="00576C3D">
        <w:tab/>
        <w:t>kunstig oppdeling av import, herunder via ordninger som ikke er reelle, for å unngå å overskride den samlede massebaserte terskelverdien.».</w:t>
      </w:r>
    </w:p>
    <w:p w14:paraId="59CE139C" w14:textId="77777777" w:rsidR="005D314E" w:rsidRPr="00576C3D" w:rsidRDefault="005D314E" w:rsidP="00576C3D">
      <w:pPr>
        <w:pStyle w:val="friliste"/>
      </w:pPr>
      <w:r w:rsidRPr="00576C3D">
        <w:t>25)</w:t>
      </w:r>
      <w:r w:rsidRPr="00576C3D">
        <w:tab/>
        <w:t>I artikkel 28 gjøres følgende endringer:</w:t>
      </w:r>
    </w:p>
    <w:p w14:paraId="51D31ED0" w14:textId="77777777" w:rsidR="005D314E" w:rsidRPr="00576C3D" w:rsidRDefault="005D314E" w:rsidP="00576C3D">
      <w:pPr>
        <w:pStyle w:val="friliste2"/>
      </w:pPr>
      <w:r w:rsidRPr="00576C3D">
        <w:t>a)</w:t>
      </w:r>
      <w:r w:rsidRPr="00576C3D">
        <w:tab/>
        <w:t>Nr. 2 og 3 skal lyde:</w:t>
      </w:r>
    </w:p>
    <w:p w14:paraId="2B51F4EB" w14:textId="77777777" w:rsidR="005D314E" w:rsidRPr="00576C3D" w:rsidRDefault="005D314E" w:rsidP="00576C3D">
      <w:pPr>
        <w:pStyle w:val="friliste3"/>
      </w:pPr>
      <w:r w:rsidRPr="00576C3D">
        <w:t>«2.</w:t>
      </w:r>
      <w:r w:rsidRPr="00576C3D">
        <w:tab/>
        <w:t>Myndigheten til å vedta delegerte rettsaktene som nevnt i artikkel 2 nr. 10, artikkel 2 nr. 11, artikkel 2a nr. 3, artikkel 18 nr. 3, artikkel 20 nr. 5a, artikkel 20 nr. 6 og artikkel 27 nr. 6 gis Kommisjonen for en periode på fem år fra 20. oktober 2025. Kommisjonen skal utarbeide en rapport om den delegerte myndigheten senest ni måneder før utgangen av femårsperioden. Den delegerte myndigheten skal stilltiende forlenges med ytterligere perioder av samme varighet, med mindre Europaparlamentet eller Rådet motsetter seg en slik forlengelse senest tre måneder før utløpet av hver periode.</w:t>
      </w:r>
    </w:p>
    <w:p w14:paraId="022DAFAB" w14:textId="77777777" w:rsidR="005D314E" w:rsidRPr="00576C3D" w:rsidRDefault="005D314E" w:rsidP="00576C3D">
      <w:pPr>
        <w:pStyle w:val="friliste3"/>
      </w:pPr>
      <w:r w:rsidRPr="00576C3D">
        <w:t>3.</w:t>
      </w:r>
      <w:r w:rsidRPr="00576C3D">
        <w:tab/>
        <w:t>Den delegerte myndigheten nevnt i artikkel 2 nr. 10, artikkel 2 nr. 11, artikkel 2a nr. 3, artikkel 18 nr. 3, artikkel 20 nr. 5a, artikkel 20 nr. 6 og artikkel 27 nr. 6 kan når som helst tilbakekalles av Europaparlamentet eller Rådet.».</w:t>
      </w:r>
    </w:p>
    <w:p w14:paraId="2DB8F3DC" w14:textId="77777777" w:rsidR="005D314E" w:rsidRPr="00576C3D" w:rsidRDefault="005D314E" w:rsidP="00576C3D">
      <w:pPr>
        <w:pStyle w:val="friliste2"/>
      </w:pPr>
      <w:r w:rsidRPr="00576C3D">
        <w:t>b)</w:t>
      </w:r>
      <w:r w:rsidRPr="00576C3D">
        <w:tab/>
        <w:t>Nr. 7 skal lyde:</w:t>
      </w:r>
    </w:p>
    <w:p w14:paraId="2B70165E" w14:textId="77777777" w:rsidR="005D314E" w:rsidRPr="00576C3D" w:rsidRDefault="005D314E" w:rsidP="00576C3D">
      <w:pPr>
        <w:pStyle w:val="friliste3"/>
      </w:pPr>
      <w:r w:rsidRPr="00576C3D">
        <w:t>«7.</w:t>
      </w:r>
      <w:r w:rsidRPr="00576C3D">
        <w:tab/>
        <w:t>En delegert rettsakt vedtatt i henhold til artikkel 2 nr. 10, artikkel 2 nr. 11, artikkel 2a nr. 3, artikkel 18 nr. 3, artikkel 20 nr. 5a, artikkel 20 nr. 6 og artikkel 27 nr. 6 skal tre i kraft bare dersom verken Europaparlamentet eller Rådet har gjort innsigelse innen en frist på to måneder etter at rettsakten ble meddelt Europaparlamentet og Rådet, eller dersom Europaparlamentet og Rådet innen utløpet av denne fristen begge har underrettet Kommisjonen om at de ikke har til hensikt å gjøre innsigelse. Denne fristen skal forlenges med to måneder på Europaparlamentets eller Rådets initiativ.».</w:t>
      </w:r>
    </w:p>
    <w:p w14:paraId="0616DDA8" w14:textId="77777777" w:rsidR="005D314E" w:rsidRPr="00576C3D" w:rsidRDefault="005D314E" w:rsidP="00576C3D">
      <w:pPr>
        <w:pStyle w:val="friliste"/>
      </w:pPr>
      <w:r w:rsidRPr="00576C3D">
        <w:t>26)</w:t>
      </w:r>
      <w:r w:rsidRPr="00576C3D">
        <w:tab/>
        <w:t>I artikkel 30 nr. 6 andre ledd bokstav b) gjøres følgende endringer:</w:t>
      </w:r>
    </w:p>
    <w:p w14:paraId="364230C7" w14:textId="77777777" w:rsidR="005D314E" w:rsidRPr="00576C3D" w:rsidRDefault="005D314E" w:rsidP="00576C3D">
      <w:pPr>
        <w:pStyle w:val="friliste2"/>
      </w:pPr>
      <w:r w:rsidRPr="00576C3D">
        <w:t>a)</w:t>
      </w:r>
      <w:r w:rsidRPr="00576C3D">
        <w:tab/>
        <w:t>Punkt i) skal lyde:</w:t>
      </w:r>
    </w:p>
    <w:p w14:paraId="2456055B" w14:textId="77777777" w:rsidR="005D314E" w:rsidRPr="00576C3D" w:rsidRDefault="005D314E" w:rsidP="00576C3D">
      <w:pPr>
        <w:pStyle w:val="friliste3"/>
      </w:pPr>
      <w:r w:rsidRPr="00576C3D">
        <w:t>«i)</w:t>
      </w:r>
      <w:r w:rsidRPr="00576C3D">
        <w:tab/>
        <w:t>styringssystemet, herunder en vurdering av medlemsstatenes gjennomføring og forvaltning av garantiene og autoriseringen av CBAM-</w:t>
      </w:r>
      <w:proofErr w:type="spellStart"/>
      <w:r w:rsidRPr="00576C3D">
        <w:t>deklaranter</w:t>
      </w:r>
      <w:proofErr w:type="spellEnd"/>
      <w:r w:rsidRPr="00576C3D">
        <w:t>,».</w:t>
      </w:r>
    </w:p>
    <w:p w14:paraId="13183D57" w14:textId="77777777" w:rsidR="005D314E" w:rsidRPr="00576C3D" w:rsidRDefault="005D314E" w:rsidP="00576C3D">
      <w:pPr>
        <w:pStyle w:val="friliste2"/>
      </w:pPr>
      <w:r w:rsidRPr="00576C3D">
        <w:t>b)</w:t>
      </w:r>
      <w:r w:rsidRPr="00576C3D">
        <w:tab/>
        <w:t>Nytt punkt skal lyde:</w:t>
      </w:r>
    </w:p>
    <w:p w14:paraId="23F5FECF" w14:textId="77777777" w:rsidR="005D314E" w:rsidRPr="00576C3D" w:rsidRDefault="005D314E" w:rsidP="00576C3D">
      <w:pPr>
        <w:pStyle w:val="friliste3"/>
      </w:pPr>
      <w:r w:rsidRPr="00576C3D">
        <w:t>«v)</w:t>
      </w:r>
      <w:r w:rsidRPr="00576C3D">
        <w:tab/>
      </w:r>
      <w:proofErr w:type="gramStart"/>
      <w:r w:rsidRPr="00576C3D">
        <w:t>anvendelsen</w:t>
      </w:r>
      <w:proofErr w:type="gramEnd"/>
      <w:r w:rsidRPr="00576C3D">
        <w:t xml:space="preserve"> av den samlede massebaserte terskelverdien, herunder muligheten til å heve denne terskelverdien og til å innføre en ytterligere forsendelsesbasert terskelverdi.».</w:t>
      </w:r>
    </w:p>
    <w:p w14:paraId="2F3D1AA0" w14:textId="77777777" w:rsidR="005D314E" w:rsidRPr="00576C3D" w:rsidRDefault="005D314E" w:rsidP="00576C3D">
      <w:pPr>
        <w:pStyle w:val="friliste"/>
      </w:pPr>
      <w:r w:rsidRPr="00576C3D">
        <w:t>27)</w:t>
      </w:r>
      <w:r w:rsidRPr="00576C3D">
        <w:tab/>
        <w:t>I artikkel 36 nr. 2 gjøres følgende endringer:</w:t>
      </w:r>
    </w:p>
    <w:p w14:paraId="56333448" w14:textId="77777777" w:rsidR="005D314E" w:rsidRPr="00576C3D" w:rsidRDefault="005D314E" w:rsidP="00576C3D">
      <w:pPr>
        <w:pStyle w:val="friliste2"/>
      </w:pPr>
      <w:r w:rsidRPr="00576C3D">
        <w:t>a)</w:t>
      </w:r>
      <w:r w:rsidRPr="00576C3D">
        <w:tab/>
        <w:t>Bokstav b) skal lyde:</w:t>
      </w:r>
    </w:p>
    <w:p w14:paraId="056984ED" w14:textId="77777777" w:rsidR="005D314E" w:rsidRPr="00576C3D" w:rsidRDefault="005D314E" w:rsidP="00576C3D">
      <w:pPr>
        <w:pStyle w:val="Listeavsnitt2"/>
      </w:pPr>
      <w:r w:rsidRPr="00576C3D">
        <w:t xml:space="preserve">«Artikkel 2 nr. 2 og artikkel 2a, 4, 6–9, 10a, 15, 19 og 21, artikkel 22 nr. 1 og 3, artikkel 23–27 og 31 får </w:t>
      </w:r>
      <w:proofErr w:type="gramStart"/>
      <w:r w:rsidRPr="00576C3D">
        <w:t>anvendelse</w:t>
      </w:r>
      <w:proofErr w:type="gramEnd"/>
      <w:r w:rsidRPr="00576C3D">
        <w:t xml:space="preserve"> fra 1. januar 2026.».</w:t>
      </w:r>
    </w:p>
    <w:p w14:paraId="3C1D389D" w14:textId="77777777" w:rsidR="005D314E" w:rsidRPr="00576C3D" w:rsidRDefault="005D314E" w:rsidP="00576C3D">
      <w:pPr>
        <w:pStyle w:val="friliste2"/>
      </w:pPr>
      <w:r w:rsidRPr="00576C3D">
        <w:t>b)</w:t>
      </w:r>
      <w:r w:rsidRPr="00576C3D">
        <w:tab/>
        <w:t>Nye bokstaver skal lyde:</w:t>
      </w:r>
    </w:p>
    <w:p w14:paraId="4811A192" w14:textId="77777777" w:rsidR="005D314E" w:rsidRPr="00576C3D" w:rsidRDefault="005D314E" w:rsidP="00576C3D">
      <w:pPr>
        <w:pStyle w:val="friliste2"/>
      </w:pPr>
      <w:r w:rsidRPr="00576C3D">
        <w:t>«c)</w:t>
      </w:r>
      <w:r w:rsidRPr="00576C3D">
        <w:tab/>
        <w:t xml:space="preserve">Artikkel 22 nr. 2 får </w:t>
      </w:r>
      <w:proofErr w:type="gramStart"/>
      <w:r w:rsidRPr="00576C3D">
        <w:t>anvendelse</w:t>
      </w:r>
      <w:proofErr w:type="gramEnd"/>
      <w:r w:rsidRPr="00576C3D">
        <w:t xml:space="preserve"> fra 1. januar 2027.».</w:t>
      </w:r>
    </w:p>
    <w:p w14:paraId="67704344" w14:textId="77777777" w:rsidR="005D314E" w:rsidRPr="00576C3D" w:rsidRDefault="005D314E" w:rsidP="00576C3D">
      <w:pPr>
        <w:pStyle w:val="friliste2"/>
      </w:pPr>
      <w:r w:rsidRPr="00576C3D">
        <w:t>d)</w:t>
      </w:r>
      <w:r w:rsidRPr="00576C3D">
        <w:tab/>
        <w:t xml:space="preserve">Artikkel 20 nr. 1, 3, 4 og 5 får </w:t>
      </w:r>
      <w:proofErr w:type="gramStart"/>
      <w:r w:rsidRPr="00576C3D">
        <w:t>anvendelse</w:t>
      </w:r>
      <w:proofErr w:type="gramEnd"/>
      <w:r w:rsidRPr="00576C3D">
        <w:t xml:space="preserve"> fra 1. februar 2027.».</w:t>
      </w:r>
    </w:p>
    <w:p w14:paraId="58D170C0" w14:textId="24E63C8F" w:rsidR="005D314E" w:rsidRPr="00576C3D" w:rsidRDefault="005D314E" w:rsidP="00576C3D">
      <w:pPr>
        <w:pStyle w:val="friliste"/>
      </w:pPr>
      <w:r w:rsidRPr="00576C3D">
        <w:t>28)</w:t>
      </w:r>
      <w:r w:rsidRPr="00576C3D">
        <w:tab/>
        <w:t>I vedlegg I skal KN-kode «25070080 – Annen kaolinholdig leire» endres til «ex25070080 – Annen kaolinholdig leire, unntatt ikke-kalsinert kaolinleire».</w:t>
      </w:r>
    </w:p>
    <w:p w14:paraId="75DF68E9" w14:textId="77777777" w:rsidR="005D314E" w:rsidRPr="00576C3D" w:rsidRDefault="005D314E" w:rsidP="00576C3D">
      <w:pPr>
        <w:pStyle w:val="friliste"/>
      </w:pPr>
      <w:r w:rsidRPr="00576C3D">
        <w:t>29)</w:t>
      </w:r>
      <w:r w:rsidRPr="00576C3D">
        <w:tab/>
        <w:t>I vedlegg II tilføyes følgende tabell:</w:t>
      </w:r>
    </w:p>
    <w:p w14:paraId="16C8B9D1" w14:textId="77777777" w:rsidR="005D314E" w:rsidRPr="00576C3D" w:rsidRDefault="005D314E" w:rsidP="00576C3D">
      <w:pPr>
        <w:pStyle w:val="Listeavsnitt"/>
        <w:rPr>
          <w:rStyle w:val="halvfet0"/>
        </w:rPr>
      </w:pPr>
      <w:r w:rsidRPr="00576C3D">
        <w:rPr>
          <w:rStyle w:val="halvfet0"/>
        </w:rPr>
        <w:t>«Elektrisitet</w:t>
      </w:r>
    </w:p>
    <w:p w14:paraId="2D8D547A" w14:textId="77777777" w:rsidR="005D314E" w:rsidRPr="00576C3D" w:rsidRDefault="005D314E" w:rsidP="00576C3D">
      <w:pPr>
        <w:pStyle w:val="Tabellnavn"/>
      </w:pPr>
      <w:r w:rsidRPr="00576C3D">
        <w:t>02N1xt1</w:t>
      </w:r>
    </w:p>
    <w:tbl>
      <w:tblPr>
        <w:tblW w:w="0" w:type="auto"/>
        <w:tblInd w:w="683" w:type="dxa"/>
        <w:tblLayout w:type="fixed"/>
        <w:tblCellMar>
          <w:top w:w="128" w:type="dxa"/>
          <w:left w:w="43" w:type="dxa"/>
          <w:bottom w:w="43" w:type="dxa"/>
          <w:right w:w="43" w:type="dxa"/>
        </w:tblCellMar>
        <w:tblLook w:val="0000" w:firstRow="0" w:lastRow="0" w:firstColumn="0" w:lastColumn="0" w:noHBand="0" w:noVBand="0"/>
      </w:tblPr>
      <w:tblGrid>
        <w:gridCol w:w="2320"/>
        <w:gridCol w:w="1600"/>
      </w:tblGrid>
      <w:tr w:rsidR="009D4FD2" w:rsidRPr="00576C3D" w14:paraId="0231DE2E" w14:textId="77777777">
        <w:trPr>
          <w:trHeight w:val="360"/>
        </w:trPr>
        <w:tc>
          <w:tcPr>
            <w:tcW w:w="2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EEA616" w14:textId="77777777" w:rsidR="005D314E" w:rsidRPr="00576C3D" w:rsidRDefault="005D314E" w:rsidP="00576C3D">
            <w:r w:rsidRPr="00576C3D">
              <w:t>KN-kode</w:t>
            </w:r>
          </w:p>
        </w:tc>
        <w:tc>
          <w:tcPr>
            <w:tcW w:w="1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6664B2" w14:textId="77777777" w:rsidR="005D314E" w:rsidRPr="00576C3D" w:rsidRDefault="005D314E" w:rsidP="00576C3D">
            <w:r w:rsidRPr="00576C3D">
              <w:t>Klimagass</w:t>
            </w:r>
          </w:p>
        </w:tc>
      </w:tr>
      <w:tr w:rsidR="009D4FD2" w:rsidRPr="00576C3D" w14:paraId="19C9B910" w14:textId="77777777">
        <w:trPr>
          <w:trHeight w:val="640"/>
        </w:trPr>
        <w:tc>
          <w:tcPr>
            <w:tcW w:w="2320" w:type="dxa"/>
            <w:tcBorders>
              <w:top w:val="single" w:sz="4" w:space="0" w:color="000000"/>
              <w:left w:val="nil"/>
              <w:bottom w:val="single" w:sz="4" w:space="0" w:color="000000"/>
              <w:right w:val="nil"/>
            </w:tcBorders>
            <w:tcMar>
              <w:top w:w="128" w:type="dxa"/>
              <w:left w:w="43" w:type="dxa"/>
              <w:bottom w:w="43" w:type="dxa"/>
              <w:right w:w="43" w:type="dxa"/>
            </w:tcMar>
          </w:tcPr>
          <w:p w14:paraId="4E253233" w14:textId="4120A1C0" w:rsidR="005D314E" w:rsidRPr="00576C3D" w:rsidRDefault="005D314E" w:rsidP="00576C3D">
            <w:r w:rsidRPr="00576C3D">
              <w:t xml:space="preserve">27160000 </w:t>
            </w:r>
            <w:r w:rsidRPr="00576C3D">
              <w:rPr>
                <w:rFonts w:ascii="UniCentury Old Style" w:hAnsi="UniCentury Old Style" w:cs="UniCentury Old Style"/>
              </w:rPr>
              <w:t>–</w:t>
            </w:r>
            <w:r w:rsidRPr="00576C3D">
              <w:t xml:space="preserve"> </w:t>
            </w:r>
            <w:r w:rsidRPr="00576C3D">
              <w:br/>
              <w:t>Elektrisk energi</w:t>
            </w:r>
          </w:p>
        </w:tc>
        <w:tc>
          <w:tcPr>
            <w:tcW w:w="1600" w:type="dxa"/>
            <w:tcBorders>
              <w:top w:val="single" w:sz="4" w:space="0" w:color="000000"/>
              <w:left w:val="nil"/>
              <w:bottom w:val="single" w:sz="4" w:space="0" w:color="000000"/>
              <w:right w:val="nil"/>
            </w:tcBorders>
            <w:tcMar>
              <w:top w:w="128" w:type="dxa"/>
              <w:left w:w="43" w:type="dxa"/>
              <w:bottom w:w="43" w:type="dxa"/>
              <w:right w:w="43" w:type="dxa"/>
            </w:tcMar>
          </w:tcPr>
          <w:p w14:paraId="04039DCF" w14:textId="77777777" w:rsidR="005D314E" w:rsidRPr="00576C3D" w:rsidRDefault="005D314E" w:rsidP="00576C3D">
            <w:r w:rsidRPr="00576C3D">
              <w:t>Karbondioksid»</w:t>
            </w:r>
          </w:p>
        </w:tc>
      </w:tr>
    </w:tbl>
    <w:p w14:paraId="60ABC547" w14:textId="77777777" w:rsidR="005D314E" w:rsidRPr="00576C3D" w:rsidRDefault="005D314E" w:rsidP="00576C3D">
      <w:pPr>
        <w:pStyle w:val="friliste"/>
      </w:pPr>
      <w:r w:rsidRPr="00576C3D">
        <w:t>30)</w:t>
      </w:r>
      <w:r w:rsidRPr="00576C3D">
        <w:tab/>
        <w:t>Vedlegg IV endres i samsvar med vedlegg I til denne forordningen.</w:t>
      </w:r>
    </w:p>
    <w:p w14:paraId="38BC24D0" w14:textId="77777777" w:rsidR="005D314E" w:rsidRPr="00576C3D" w:rsidRDefault="005D314E" w:rsidP="00576C3D">
      <w:pPr>
        <w:pStyle w:val="friliste"/>
      </w:pPr>
      <w:r w:rsidRPr="00576C3D">
        <w:t>31)</w:t>
      </w:r>
      <w:r w:rsidRPr="00576C3D">
        <w:tab/>
        <w:t>I vedlegg V nr. 2 skal ny bokstav lyde:</w:t>
      </w:r>
    </w:p>
    <w:p w14:paraId="24DD083F" w14:textId="77777777" w:rsidR="005D314E" w:rsidRPr="00576C3D" w:rsidRDefault="005D314E" w:rsidP="00576C3D">
      <w:pPr>
        <w:pStyle w:val="friliste2"/>
      </w:pPr>
      <w:r w:rsidRPr="00576C3D">
        <w:t>«e)</w:t>
      </w:r>
      <w:r w:rsidRPr="00576C3D">
        <w:tab/>
        <w:t>Opplysninger og metoden som er brukt til å beregne de innbakte utslippene.».</w:t>
      </w:r>
    </w:p>
    <w:p w14:paraId="4E9213B4" w14:textId="77777777" w:rsidR="005D314E" w:rsidRPr="00576C3D" w:rsidRDefault="005D314E" w:rsidP="00576C3D">
      <w:pPr>
        <w:pStyle w:val="friliste"/>
      </w:pPr>
      <w:r w:rsidRPr="00576C3D">
        <w:t>32)</w:t>
      </w:r>
      <w:r w:rsidRPr="00576C3D">
        <w:tab/>
        <w:t>I vedlegg VI nr. 2 bokstav k) skal punkt iii) lyde:</w:t>
      </w:r>
    </w:p>
    <w:p w14:paraId="550AD0C8" w14:textId="77777777" w:rsidR="005D314E" w:rsidRPr="00576C3D" w:rsidRDefault="005D314E" w:rsidP="00576C3D">
      <w:pPr>
        <w:pStyle w:val="friliste2"/>
      </w:pPr>
      <w:r w:rsidRPr="00576C3D">
        <w:t>«iii)</w:t>
      </w:r>
      <w:r w:rsidRPr="00576C3D">
        <w:tab/>
        <w:t>Identifikasjon av anleggene der innsatsmaterialet (forløperen) er produsert, og de faktiske utslippene fra produksjonen av dette materialet.».</w:t>
      </w:r>
    </w:p>
    <w:p w14:paraId="1AF8742E" w14:textId="77777777" w:rsidR="005D314E" w:rsidRPr="00576C3D" w:rsidRDefault="005D314E" w:rsidP="00576C3D">
      <w:pPr>
        <w:pStyle w:val="friliste"/>
      </w:pPr>
      <w:r w:rsidRPr="00576C3D">
        <w:t>33)</w:t>
      </w:r>
      <w:r w:rsidRPr="00576C3D">
        <w:tab/>
        <w:t>Teksten i vedlegg II til denne forordningen tilføyes som et nytt vedlegg VII.</w:t>
      </w:r>
    </w:p>
    <w:p w14:paraId="488DD54A" w14:textId="77777777" w:rsidR="005D314E" w:rsidRPr="00576C3D" w:rsidRDefault="005D314E" w:rsidP="00576C3D">
      <w:pPr>
        <w:pStyle w:val="avsnitt-undertittel"/>
      </w:pPr>
      <w:r w:rsidRPr="00576C3D">
        <w:t>Artikkel 2</w:t>
      </w:r>
    </w:p>
    <w:p w14:paraId="043C43CA" w14:textId="77777777" w:rsidR="005D314E" w:rsidRPr="00576C3D" w:rsidRDefault="005D314E" w:rsidP="00576C3D">
      <w:pPr>
        <w:pStyle w:val="Undertittel"/>
      </w:pPr>
      <w:r w:rsidRPr="00576C3D">
        <w:t>Ikrafttredelse</w:t>
      </w:r>
    </w:p>
    <w:p w14:paraId="17014FF0" w14:textId="77777777" w:rsidR="005D314E" w:rsidRPr="00576C3D" w:rsidRDefault="005D314E" w:rsidP="00576C3D">
      <w:r w:rsidRPr="00576C3D">
        <w:t xml:space="preserve">Denne forordningen trer i kraft den tredje dagen etter at den er kunngjort i </w:t>
      </w:r>
      <w:r w:rsidRPr="00576C3D">
        <w:rPr>
          <w:rStyle w:val="kursiv"/>
        </w:rPr>
        <w:t>Den europeiske unions tidende</w:t>
      </w:r>
      <w:r w:rsidRPr="00576C3D">
        <w:t>.</w:t>
      </w:r>
    </w:p>
    <w:p w14:paraId="28645C77" w14:textId="77777777" w:rsidR="005D314E" w:rsidRPr="00576C3D" w:rsidRDefault="005D314E" w:rsidP="00576C3D">
      <w:r w:rsidRPr="00576C3D">
        <w:t>Denne forordningen er bindende i alle deler og kommer direkte til anvendelse i alle medlemsstater.</w:t>
      </w:r>
    </w:p>
    <w:p w14:paraId="2D3C1680" w14:textId="77777777" w:rsidR="005D314E" w:rsidRPr="00576C3D" w:rsidRDefault="005D314E" w:rsidP="00576C3D">
      <w:r w:rsidRPr="00576C3D">
        <w:t>Utferdiget i Strasbourg 8. oktober 2025.</w:t>
      </w:r>
    </w:p>
    <w:p w14:paraId="7537FB19" w14:textId="77777777" w:rsidR="005D314E" w:rsidRPr="00576C3D" w:rsidRDefault="005D314E" w:rsidP="00576C3D">
      <w:pPr>
        <w:pStyle w:val="Tabellnavn"/>
      </w:pPr>
      <w:r w:rsidRPr="00576C3D">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820"/>
        <w:gridCol w:w="1760"/>
      </w:tblGrid>
      <w:tr w:rsidR="009D4FD2" w:rsidRPr="00576C3D" w14:paraId="443754F6" w14:textId="77777777">
        <w:trPr>
          <w:trHeight w:val="380"/>
        </w:trPr>
        <w:tc>
          <w:tcPr>
            <w:tcW w:w="2820" w:type="dxa"/>
            <w:tcBorders>
              <w:top w:val="nil"/>
              <w:left w:val="nil"/>
              <w:bottom w:val="nil"/>
              <w:right w:val="nil"/>
            </w:tcBorders>
            <w:tcMar>
              <w:top w:w="128" w:type="dxa"/>
              <w:left w:w="43" w:type="dxa"/>
              <w:bottom w:w="43" w:type="dxa"/>
              <w:right w:w="43" w:type="dxa"/>
            </w:tcMar>
            <w:vAlign w:val="bottom"/>
          </w:tcPr>
          <w:p w14:paraId="7FA8DCAC" w14:textId="77777777" w:rsidR="005D314E" w:rsidRPr="00576C3D" w:rsidRDefault="005D314E" w:rsidP="00576C3D">
            <w:r w:rsidRPr="00576C3D">
              <w:rPr>
                <w:rStyle w:val="kursiv"/>
                <w:sz w:val="21"/>
              </w:rPr>
              <w:t>For Europaparlamentet</w:t>
            </w:r>
          </w:p>
        </w:tc>
        <w:tc>
          <w:tcPr>
            <w:tcW w:w="1760" w:type="dxa"/>
            <w:tcBorders>
              <w:top w:val="nil"/>
              <w:left w:val="nil"/>
              <w:bottom w:val="nil"/>
              <w:right w:val="nil"/>
            </w:tcBorders>
            <w:tcMar>
              <w:top w:w="128" w:type="dxa"/>
              <w:left w:w="43" w:type="dxa"/>
              <w:bottom w:w="43" w:type="dxa"/>
              <w:right w:w="43" w:type="dxa"/>
            </w:tcMar>
            <w:vAlign w:val="bottom"/>
          </w:tcPr>
          <w:p w14:paraId="0C26B696" w14:textId="77777777" w:rsidR="005D314E" w:rsidRPr="00576C3D" w:rsidRDefault="005D314E" w:rsidP="00576C3D">
            <w:r w:rsidRPr="00576C3D">
              <w:rPr>
                <w:rStyle w:val="kursiv"/>
                <w:sz w:val="21"/>
              </w:rPr>
              <w:t>For Rådet</w:t>
            </w:r>
          </w:p>
        </w:tc>
      </w:tr>
      <w:tr w:rsidR="009D4FD2" w:rsidRPr="00576C3D" w14:paraId="27C90FC7" w14:textId="77777777">
        <w:trPr>
          <w:trHeight w:val="380"/>
        </w:trPr>
        <w:tc>
          <w:tcPr>
            <w:tcW w:w="2820" w:type="dxa"/>
            <w:tcBorders>
              <w:top w:val="nil"/>
              <w:left w:val="nil"/>
              <w:bottom w:val="nil"/>
              <w:right w:val="nil"/>
            </w:tcBorders>
            <w:tcMar>
              <w:top w:w="128" w:type="dxa"/>
              <w:left w:w="43" w:type="dxa"/>
              <w:bottom w:w="43" w:type="dxa"/>
              <w:right w:w="43" w:type="dxa"/>
            </w:tcMar>
          </w:tcPr>
          <w:p w14:paraId="19C32B40" w14:textId="77777777" w:rsidR="005D314E" w:rsidRPr="00576C3D" w:rsidRDefault="005D314E" w:rsidP="00576C3D">
            <w:r w:rsidRPr="00576C3D">
              <w:t xml:space="preserve">R. </w:t>
            </w:r>
            <w:proofErr w:type="spellStart"/>
            <w:r w:rsidRPr="00576C3D">
              <w:t>Metsola</w:t>
            </w:r>
            <w:proofErr w:type="spellEnd"/>
          </w:p>
        </w:tc>
        <w:tc>
          <w:tcPr>
            <w:tcW w:w="1760" w:type="dxa"/>
            <w:tcBorders>
              <w:top w:val="nil"/>
              <w:left w:val="nil"/>
              <w:bottom w:val="nil"/>
              <w:right w:val="nil"/>
            </w:tcBorders>
            <w:tcMar>
              <w:top w:w="128" w:type="dxa"/>
              <w:left w:w="43" w:type="dxa"/>
              <w:bottom w:w="43" w:type="dxa"/>
              <w:right w:w="43" w:type="dxa"/>
            </w:tcMar>
          </w:tcPr>
          <w:p w14:paraId="6F5EED78" w14:textId="77777777" w:rsidR="005D314E" w:rsidRPr="00576C3D" w:rsidRDefault="005D314E" w:rsidP="00576C3D">
            <w:r w:rsidRPr="00576C3D">
              <w:t>M. Bjerre</w:t>
            </w:r>
          </w:p>
        </w:tc>
      </w:tr>
      <w:tr w:rsidR="009D4FD2" w:rsidRPr="00576C3D" w14:paraId="0C850601" w14:textId="77777777">
        <w:trPr>
          <w:trHeight w:val="380"/>
        </w:trPr>
        <w:tc>
          <w:tcPr>
            <w:tcW w:w="2820" w:type="dxa"/>
            <w:tcBorders>
              <w:top w:val="nil"/>
              <w:left w:val="nil"/>
              <w:bottom w:val="nil"/>
              <w:right w:val="nil"/>
            </w:tcBorders>
            <w:tcMar>
              <w:top w:w="128" w:type="dxa"/>
              <w:left w:w="43" w:type="dxa"/>
              <w:bottom w:w="43" w:type="dxa"/>
              <w:right w:w="43" w:type="dxa"/>
            </w:tcMar>
            <w:vAlign w:val="bottom"/>
          </w:tcPr>
          <w:p w14:paraId="676F1072" w14:textId="77777777" w:rsidR="005D314E" w:rsidRPr="00576C3D" w:rsidRDefault="005D314E" w:rsidP="00576C3D">
            <w:r w:rsidRPr="00576C3D">
              <w:rPr>
                <w:rStyle w:val="kursiv"/>
                <w:sz w:val="21"/>
              </w:rPr>
              <w:t>President</w:t>
            </w:r>
          </w:p>
        </w:tc>
        <w:tc>
          <w:tcPr>
            <w:tcW w:w="1760" w:type="dxa"/>
            <w:tcBorders>
              <w:top w:val="nil"/>
              <w:left w:val="nil"/>
              <w:bottom w:val="nil"/>
              <w:right w:val="nil"/>
            </w:tcBorders>
            <w:tcMar>
              <w:top w:w="128" w:type="dxa"/>
              <w:left w:w="43" w:type="dxa"/>
              <w:bottom w:w="43" w:type="dxa"/>
              <w:right w:w="43" w:type="dxa"/>
            </w:tcMar>
            <w:vAlign w:val="bottom"/>
          </w:tcPr>
          <w:p w14:paraId="2AD6C65F" w14:textId="77777777" w:rsidR="005D314E" w:rsidRPr="00576C3D" w:rsidRDefault="005D314E" w:rsidP="00576C3D">
            <w:r w:rsidRPr="00576C3D">
              <w:rPr>
                <w:rStyle w:val="kursiv"/>
                <w:sz w:val="21"/>
              </w:rPr>
              <w:t>Formann</w:t>
            </w:r>
          </w:p>
        </w:tc>
      </w:tr>
    </w:tbl>
    <w:p w14:paraId="59AE8322" w14:textId="77777777" w:rsidR="005D314E" w:rsidRPr="00576C3D" w:rsidRDefault="005D314E" w:rsidP="00576C3D">
      <w:pPr>
        <w:pStyle w:val="avsnitt-undertittel"/>
      </w:pPr>
      <w:r w:rsidRPr="00576C3D">
        <w:t>Vedlegg I</w:t>
      </w:r>
    </w:p>
    <w:p w14:paraId="16E985D2" w14:textId="77777777" w:rsidR="005D314E" w:rsidRPr="00576C3D" w:rsidRDefault="005D314E" w:rsidP="00576C3D">
      <w:r w:rsidRPr="00576C3D">
        <w:t>I vedlegg IV gjøres følgende endringer:</w:t>
      </w:r>
    </w:p>
    <w:p w14:paraId="17BF944C" w14:textId="77777777" w:rsidR="005D314E" w:rsidRPr="00576C3D" w:rsidRDefault="005D314E" w:rsidP="00576C3D">
      <w:pPr>
        <w:pStyle w:val="friliste"/>
      </w:pPr>
      <w:r w:rsidRPr="00576C3D">
        <w:t>1)</w:t>
      </w:r>
      <w:r w:rsidRPr="00576C3D">
        <w:tab/>
        <w:t>Nr. 3 skal lyde:</w:t>
      </w:r>
    </w:p>
    <w:p w14:paraId="2BA8D445" w14:textId="77777777" w:rsidR="005D314E" w:rsidRPr="00576C3D" w:rsidRDefault="005D314E" w:rsidP="00576C3D">
      <w:pPr>
        <w:pStyle w:val="friliste2"/>
      </w:pPr>
      <w:r w:rsidRPr="00576C3D">
        <w:t>«3.</w:t>
      </w:r>
      <w:r w:rsidRPr="00576C3D">
        <w:tab/>
        <w:t>Bestemmelse av faktiske innbakte utslipp for sammensatte varer</w:t>
      </w:r>
    </w:p>
    <w:p w14:paraId="06E41870" w14:textId="336537FF" w:rsidR="005D314E" w:rsidRPr="00576C3D" w:rsidRDefault="005D314E" w:rsidP="00576C3D">
      <w:pPr>
        <w:pStyle w:val="Listeavsnitt2"/>
      </w:pPr>
      <w:r w:rsidRPr="00576C3D">
        <w:t>For å bestemme de spesifikke faktiske innbakte utslippene av sammensatte varer produsert i et gitt anlegg, brukes følgende ligning:</w:t>
      </w:r>
      <w:r w:rsidR="007C7530">
        <w:rPr>
          <w:noProof/>
        </w:rPr>
        <w:drawing>
          <wp:inline distT="0" distB="0" distL="0" distR="0" wp14:anchorId="212B61BA" wp14:editId="4D22118B">
            <wp:extent cx="6076950" cy="2705100"/>
            <wp:effectExtent l="0" t="0" r="0" b="0"/>
            <wp:docPr id="917123352"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2705100"/>
                    </a:xfrm>
                    <a:prstGeom prst="rect">
                      <a:avLst/>
                    </a:prstGeom>
                    <a:noFill/>
                    <a:ln>
                      <a:noFill/>
                    </a:ln>
                  </pic:spPr>
                </pic:pic>
              </a:graphicData>
            </a:graphic>
          </wp:inline>
        </w:drawing>
      </w:r>
    </w:p>
    <w:p w14:paraId="778A2B18" w14:textId="77777777" w:rsidR="005D314E" w:rsidRPr="00576C3D" w:rsidRDefault="005D314E" w:rsidP="00576C3D">
      <w:pPr>
        <w:pStyle w:val="friliste2"/>
      </w:pPr>
      <w:r w:rsidRPr="00576C3D">
        <w:t>der</w:t>
      </w:r>
    </w:p>
    <w:p w14:paraId="0AA43095" w14:textId="77777777" w:rsidR="005D314E" w:rsidRPr="00576C3D" w:rsidRDefault="005D314E" w:rsidP="00576C3D">
      <w:pPr>
        <w:pStyle w:val="Tabellnavn"/>
      </w:pPr>
      <w:r w:rsidRPr="00576C3D">
        <w:t>02N0xx1</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1060"/>
        <w:gridCol w:w="3200"/>
      </w:tblGrid>
      <w:tr w:rsidR="009D4FD2" w:rsidRPr="00576C3D" w14:paraId="29A6693B" w14:textId="77777777">
        <w:trPr>
          <w:trHeight w:val="380"/>
        </w:trPr>
        <w:tc>
          <w:tcPr>
            <w:tcW w:w="1060" w:type="dxa"/>
            <w:tcBorders>
              <w:top w:val="nil"/>
              <w:left w:val="nil"/>
              <w:bottom w:val="nil"/>
              <w:right w:val="nil"/>
            </w:tcBorders>
            <w:tcMar>
              <w:top w:w="128" w:type="dxa"/>
              <w:left w:w="43" w:type="dxa"/>
              <w:bottom w:w="43" w:type="dxa"/>
              <w:right w:w="43" w:type="dxa"/>
            </w:tcMar>
          </w:tcPr>
          <w:p w14:paraId="57E87727" w14:textId="77777777" w:rsidR="005D314E" w:rsidRPr="00576C3D" w:rsidRDefault="005D314E" w:rsidP="00576C3D">
            <w:proofErr w:type="spellStart"/>
            <w:r w:rsidRPr="00576C3D">
              <w:t>AttrEm</w:t>
            </w:r>
            <w:r w:rsidRPr="00576C3D">
              <w:rPr>
                <w:rStyle w:val="skrift-senket"/>
                <w:sz w:val="21"/>
              </w:rPr>
              <w:t>g</w:t>
            </w:r>
            <w:proofErr w:type="spellEnd"/>
          </w:p>
        </w:tc>
        <w:tc>
          <w:tcPr>
            <w:tcW w:w="3200" w:type="dxa"/>
            <w:tcBorders>
              <w:top w:val="nil"/>
              <w:left w:val="nil"/>
              <w:bottom w:val="nil"/>
              <w:right w:val="nil"/>
            </w:tcBorders>
            <w:tcMar>
              <w:top w:w="128" w:type="dxa"/>
              <w:left w:w="43" w:type="dxa"/>
              <w:bottom w:w="43" w:type="dxa"/>
              <w:right w:w="43" w:type="dxa"/>
            </w:tcMar>
          </w:tcPr>
          <w:p w14:paraId="0C3007C3" w14:textId="77777777" w:rsidR="005D314E" w:rsidRPr="00576C3D" w:rsidRDefault="005D314E" w:rsidP="00576C3D">
            <w:r w:rsidRPr="00576C3D">
              <w:t>er de tildelte utslippene til varer g,</w:t>
            </w:r>
          </w:p>
        </w:tc>
      </w:tr>
      <w:tr w:rsidR="009D4FD2" w:rsidRPr="00576C3D" w14:paraId="6B5CF222" w14:textId="77777777">
        <w:trPr>
          <w:trHeight w:val="1140"/>
        </w:trPr>
        <w:tc>
          <w:tcPr>
            <w:tcW w:w="1060" w:type="dxa"/>
            <w:tcBorders>
              <w:top w:val="nil"/>
              <w:left w:val="nil"/>
              <w:bottom w:val="nil"/>
              <w:right w:val="nil"/>
            </w:tcBorders>
            <w:tcMar>
              <w:top w:w="128" w:type="dxa"/>
              <w:left w:w="43" w:type="dxa"/>
              <w:bottom w:w="43" w:type="dxa"/>
              <w:right w:w="43" w:type="dxa"/>
            </w:tcMar>
          </w:tcPr>
          <w:p w14:paraId="701FC869" w14:textId="77777777" w:rsidR="005D314E" w:rsidRPr="00576C3D" w:rsidRDefault="005D314E" w:rsidP="00576C3D">
            <w:proofErr w:type="spellStart"/>
            <w:r w:rsidRPr="00576C3D">
              <w:t>AL</w:t>
            </w:r>
            <w:r w:rsidRPr="00576C3D">
              <w:rPr>
                <w:rStyle w:val="skrift-senket"/>
                <w:sz w:val="21"/>
              </w:rPr>
              <w:t>g</w:t>
            </w:r>
            <w:proofErr w:type="spellEnd"/>
          </w:p>
        </w:tc>
        <w:tc>
          <w:tcPr>
            <w:tcW w:w="3200" w:type="dxa"/>
            <w:tcBorders>
              <w:top w:val="nil"/>
              <w:left w:val="nil"/>
              <w:bottom w:val="nil"/>
              <w:right w:val="nil"/>
            </w:tcBorders>
            <w:tcMar>
              <w:top w:w="128" w:type="dxa"/>
              <w:left w:w="43" w:type="dxa"/>
              <w:bottom w:w="43" w:type="dxa"/>
              <w:right w:w="43" w:type="dxa"/>
            </w:tcMar>
          </w:tcPr>
          <w:p w14:paraId="0E584508" w14:textId="77777777" w:rsidR="005D314E" w:rsidRPr="00576C3D" w:rsidRDefault="005D314E" w:rsidP="00576C3D">
            <w:r w:rsidRPr="00576C3D">
              <w:t>er varenes aktivitetsnivå, som er mengden varer produsert i rapporteringsperioden i det aktuelle anlegget, og</w:t>
            </w:r>
          </w:p>
        </w:tc>
      </w:tr>
      <w:tr w:rsidR="009D4FD2" w:rsidRPr="00576C3D" w14:paraId="272AB253" w14:textId="77777777">
        <w:trPr>
          <w:trHeight w:val="2680"/>
        </w:trPr>
        <w:tc>
          <w:tcPr>
            <w:tcW w:w="1060" w:type="dxa"/>
            <w:tcBorders>
              <w:top w:val="nil"/>
              <w:left w:val="nil"/>
              <w:bottom w:val="nil"/>
              <w:right w:val="nil"/>
            </w:tcBorders>
            <w:tcMar>
              <w:top w:w="128" w:type="dxa"/>
              <w:left w:w="43" w:type="dxa"/>
              <w:bottom w:w="43" w:type="dxa"/>
              <w:right w:w="43" w:type="dxa"/>
            </w:tcMar>
          </w:tcPr>
          <w:p w14:paraId="67C20553" w14:textId="77777777" w:rsidR="005D314E" w:rsidRPr="00576C3D" w:rsidRDefault="005D314E" w:rsidP="00576C3D">
            <w:proofErr w:type="spellStart"/>
            <w:r w:rsidRPr="00576C3D">
              <w:t>EE</w:t>
            </w:r>
            <w:r w:rsidRPr="00576C3D">
              <w:rPr>
                <w:rStyle w:val="skrift-senket"/>
                <w:sz w:val="21"/>
              </w:rPr>
              <w:t>InpMat</w:t>
            </w:r>
            <w:proofErr w:type="spellEnd"/>
          </w:p>
        </w:tc>
        <w:tc>
          <w:tcPr>
            <w:tcW w:w="3200" w:type="dxa"/>
            <w:tcBorders>
              <w:top w:val="nil"/>
              <w:left w:val="nil"/>
              <w:bottom w:val="nil"/>
              <w:right w:val="nil"/>
            </w:tcBorders>
            <w:tcMar>
              <w:top w:w="128" w:type="dxa"/>
              <w:left w:w="43" w:type="dxa"/>
              <w:bottom w:w="43" w:type="dxa"/>
              <w:right w:w="43" w:type="dxa"/>
            </w:tcMar>
          </w:tcPr>
          <w:p w14:paraId="19532E7A" w14:textId="77777777" w:rsidR="005D314E" w:rsidRPr="00576C3D" w:rsidRDefault="005D314E" w:rsidP="00576C3D">
            <w:r w:rsidRPr="00576C3D">
              <w:t xml:space="preserve">er de innbakte utslippene av innsatsmaterialene (forløperne) som forbrukes i produksjonsprosessen. Kun innsatsmaterialer (forløpere) oppført i vedlegg I og med opprinnelse i tredjeland og territorier som ikke er unntatt i henhold til nr. 1 i vedlegg III, skal vurderes. De relevante </w:t>
            </w:r>
            <w:proofErr w:type="spellStart"/>
            <w:r w:rsidRPr="00576C3D">
              <w:t>EE</w:t>
            </w:r>
            <w:r w:rsidRPr="00576C3D">
              <w:rPr>
                <w:rStyle w:val="skrift-senket"/>
                <w:sz w:val="21"/>
              </w:rPr>
              <w:t>InpMat</w:t>
            </w:r>
            <w:proofErr w:type="spellEnd"/>
            <w:r w:rsidRPr="00576C3D">
              <w:t xml:space="preserve"> beregnes som følger:</w:t>
            </w:r>
          </w:p>
        </w:tc>
      </w:tr>
    </w:tbl>
    <w:p w14:paraId="42BEA748" w14:textId="49DEE267" w:rsidR="005D314E" w:rsidRPr="00576C3D" w:rsidRDefault="00802F7A" w:rsidP="00576C3D">
      <w:pPr>
        <w:pStyle w:val="friliste2"/>
      </w:pPr>
      <w:r>
        <w:rPr>
          <w:noProof/>
        </w:rPr>
        <w:drawing>
          <wp:inline distT="0" distB="0" distL="0" distR="0" wp14:anchorId="5E40E04D" wp14:editId="06A0674F">
            <wp:extent cx="6076950" cy="2438400"/>
            <wp:effectExtent l="0" t="0" r="0" b="0"/>
            <wp:docPr id="153182215" name="Bil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438400"/>
                    </a:xfrm>
                    <a:prstGeom prst="rect">
                      <a:avLst/>
                    </a:prstGeom>
                    <a:noFill/>
                    <a:ln>
                      <a:noFill/>
                    </a:ln>
                  </pic:spPr>
                </pic:pic>
              </a:graphicData>
            </a:graphic>
          </wp:inline>
        </w:drawing>
      </w:r>
    </w:p>
    <w:p w14:paraId="27244601" w14:textId="77777777" w:rsidR="005D314E" w:rsidRPr="00576C3D" w:rsidRDefault="005D314E" w:rsidP="00576C3D">
      <w:pPr>
        <w:pStyle w:val="friliste2"/>
      </w:pPr>
      <w:r w:rsidRPr="00576C3D">
        <w:t>der</w:t>
      </w:r>
    </w:p>
    <w:p w14:paraId="359E6DD4" w14:textId="77777777" w:rsidR="005D314E" w:rsidRPr="00576C3D" w:rsidRDefault="005D314E" w:rsidP="00576C3D">
      <w:pPr>
        <w:pStyle w:val="Tabellnavn"/>
      </w:pPr>
      <w:r w:rsidRPr="00576C3D">
        <w:t>02N0xx1</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1060"/>
        <w:gridCol w:w="3200"/>
      </w:tblGrid>
      <w:tr w:rsidR="009D4FD2" w:rsidRPr="00576C3D" w14:paraId="5CBC719A" w14:textId="77777777">
        <w:trPr>
          <w:trHeight w:val="880"/>
        </w:trPr>
        <w:tc>
          <w:tcPr>
            <w:tcW w:w="1060" w:type="dxa"/>
            <w:tcBorders>
              <w:top w:val="nil"/>
              <w:left w:val="nil"/>
              <w:bottom w:val="nil"/>
              <w:right w:val="nil"/>
            </w:tcBorders>
            <w:tcMar>
              <w:top w:w="128" w:type="dxa"/>
              <w:left w:w="43" w:type="dxa"/>
              <w:bottom w:w="43" w:type="dxa"/>
              <w:right w:w="43" w:type="dxa"/>
            </w:tcMar>
          </w:tcPr>
          <w:p w14:paraId="19E83336" w14:textId="77777777" w:rsidR="005D314E" w:rsidRPr="00576C3D" w:rsidRDefault="005D314E" w:rsidP="00576C3D">
            <w:r w:rsidRPr="00576C3D">
              <w:t>M</w:t>
            </w:r>
            <w:r w:rsidRPr="00576C3D">
              <w:rPr>
                <w:rStyle w:val="skrift-senket"/>
                <w:sz w:val="21"/>
              </w:rPr>
              <w:t>i</w:t>
            </w:r>
          </w:p>
        </w:tc>
        <w:tc>
          <w:tcPr>
            <w:tcW w:w="3200" w:type="dxa"/>
            <w:tcBorders>
              <w:top w:val="nil"/>
              <w:left w:val="nil"/>
              <w:bottom w:val="nil"/>
              <w:right w:val="nil"/>
            </w:tcBorders>
            <w:tcMar>
              <w:top w:w="128" w:type="dxa"/>
              <w:left w:w="43" w:type="dxa"/>
              <w:bottom w:w="43" w:type="dxa"/>
              <w:right w:w="43" w:type="dxa"/>
            </w:tcMar>
          </w:tcPr>
          <w:p w14:paraId="7C01663F" w14:textId="77777777" w:rsidR="005D314E" w:rsidRPr="00576C3D" w:rsidRDefault="005D314E" w:rsidP="00576C3D">
            <w:r w:rsidRPr="00576C3D">
              <w:t>er massen av innsatsmaterialene (forløperne) som brukes i produksjonsprosessen, og</w:t>
            </w:r>
          </w:p>
        </w:tc>
      </w:tr>
      <w:tr w:rsidR="009D4FD2" w:rsidRPr="00576C3D" w14:paraId="59B8B471" w14:textId="77777777">
        <w:trPr>
          <w:trHeight w:val="2420"/>
        </w:trPr>
        <w:tc>
          <w:tcPr>
            <w:tcW w:w="1060" w:type="dxa"/>
            <w:tcBorders>
              <w:top w:val="nil"/>
              <w:left w:val="nil"/>
              <w:bottom w:val="nil"/>
              <w:right w:val="nil"/>
            </w:tcBorders>
            <w:tcMar>
              <w:top w:w="128" w:type="dxa"/>
              <w:left w:w="43" w:type="dxa"/>
              <w:bottom w:w="43" w:type="dxa"/>
              <w:right w:w="43" w:type="dxa"/>
            </w:tcMar>
          </w:tcPr>
          <w:p w14:paraId="445EFE62" w14:textId="77777777" w:rsidR="005D314E" w:rsidRPr="00576C3D" w:rsidRDefault="005D314E" w:rsidP="00576C3D">
            <w:r w:rsidRPr="00576C3D">
              <w:t>SEE</w:t>
            </w:r>
            <w:r w:rsidRPr="00576C3D">
              <w:rPr>
                <w:rStyle w:val="skrift-senket"/>
                <w:sz w:val="21"/>
              </w:rPr>
              <w:t>I</w:t>
            </w:r>
          </w:p>
        </w:tc>
        <w:tc>
          <w:tcPr>
            <w:tcW w:w="3200" w:type="dxa"/>
            <w:tcBorders>
              <w:top w:val="nil"/>
              <w:left w:val="nil"/>
              <w:bottom w:val="nil"/>
              <w:right w:val="nil"/>
            </w:tcBorders>
            <w:tcMar>
              <w:top w:w="128" w:type="dxa"/>
              <w:left w:w="43" w:type="dxa"/>
              <w:bottom w:w="43" w:type="dxa"/>
              <w:right w:w="43" w:type="dxa"/>
            </w:tcMar>
          </w:tcPr>
          <w:p w14:paraId="0B51BC7D" w14:textId="77777777" w:rsidR="005D314E" w:rsidRPr="00576C3D" w:rsidRDefault="005D314E" w:rsidP="00576C3D">
            <w:r w:rsidRPr="00576C3D">
              <w:t xml:space="preserve">er de spesifikke innbakte utslippene for innsatsmaterialet (forløperen) i. For </w:t>
            </w:r>
            <w:proofErr w:type="spellStart"/>
            <w:r w:rsidRPr="00576C3D">
              <w:t>SEE</w:t>
            </w:r>
            <w:r w:rsidRPr="00576C3D">
              <w:rPr>
                <w:rStyle w:val="skrift-senket"/>
                <w:sz w:val="21"/>
              </w:rPr>
              <w:t>i</w:t>
            </w:r>
            <w:proofErr w:type="spellEnd"/>
            <w:r w:rsidRPr="00576C3D">
              <w:t xml:space="preserve"> skal operatøren av anlegget bruke verdien av utslippene fra det anlegget der innsatsmaterialet (forløperen) ble produsert, forutsatt at dette anleggets data kan måles på en tilfredsstillende måte.».</w:t>
            </w:r>
          </w:p>
        </w:tc>
      </w:tr>
    </w:tbl>
    <w:p w14:paraId="7C8E4D81" w14:textId="77777777" w:rsidR="005D314E" w:rsidRPr="00576C3D" w:rsidRDefault="005D314E" w:rsidP="00576C3D">
      <w:pPr>
        <w:pStyle w:val="friliste"/>
      </w:pPr>
      <w:r w:rsidRPr="00576C3D">
        <w:t>2)</w:t>
      </w:r>
      <w:r w:rsidRPr="00576C3D">
        <w:tab/>
        <w:t>Nr. 4 skal lyde:</w:t>
      </w:r>
    </w:p>
    <w:p w14:paraId="7A404898" w14:textId="77777777" w:rsidR="005D314E" w:rsidRPr="00576C3D" w:rsidRDefault="005D314E" w:rsidP="00576C3D">
      <w:pPr>
        <w:pStyle w:val="friliste2"/>
      </w:pPr>
      <w:r w:rsidRPr="00576C3D">
        <w:t>«4.</w:t>
      </w:r>
      <w:r w:rsidRPr="00576C3D">
        <w:tab/>
        <w:t>Fastsettelse av standardverdier omhandlet i artikkel 7 nr. 2 og nr. 3</w:t>
      </w:r>
    </w:p>
    <w:p w14:paraId="0F2DDD71" w14:textId="77777777" w:rsidR="005D314E" w:rsidRPr="00576C3D" w:rsidRDefault="005D314E" w:rsidP="00576C3D">
      <w:pPr>
        <w:pStyle w:val="Listeavsnitt2"/>
      </w:pPr>
      <w:r w:rsidRPr="00576C3D">
        <w:t>Ved fastsettelse av standardverdier skal bare faktiske verdier brukes til å bestemme innbakte utslipp. Om det ikke foreligger faktiske verdier, kan litteraturverdier brukes. Standardverdiene skal fastsettes på grunnlag av de beste tilgjengelige dataene. De beste tilgjengelige dataene skal være basert på pålitelige og offentlig tilgjengelige opplysninger. Standardverdiene skal revideres med jevne mellomrom gjennom gjennomføringsrettsaktene vedtatt i henhold til artikkel 7 nr. 7 på grunnlag av de mest oppdaterte og pålitelige opplysningene, herunder på grunnlag av opplysninger fra et tredjeland eller en gruppe tredjeland.».</w:t>
      </w:r>
    </w:p>
    <w:p w14:paraId="6D94F304" w14:textId="77777777" w:rsidR="005D314E" w:rsidRPr="00576C3D" w:rsidRDefault="005D314E" w:rsidP="00576C3D">
      <w:pPr>
        <w:pStyle w:val="friliste"/>
      </w:pPr>
      <w:r w:rsidRPr="00576C3D">
        <w:t>3)</w:t>
      </w:r>
      <w:r w:rsidRPr="00576C3D">
        <w:tab/>
        <w:t>Nr. 4.1 skal lyde:</w:t>
      </w:r>
    </w:p>
    <w:p w14:paraId="063BDEC9" w14:textId="77777777" w:rsidR="005D314E" w:rsidRPr="00576C3D" w:rsidRDefault="005D314E" w:rsidP="00576C3D">
      <w:pPr>
        <w:pStyle w:val="friliste2"/>
      </w:pPr>
      <w:r w:rsidRPr="00576C3D">
        <w:t>«4.1.</w:t>
      </w:r>
      <w:r w:rsidRPr="00576C3D">
        <w:tab/>
        <w:t>Standardverdier som nevnt i artikkel 7 nr. 2</w:t>
      </w:r>
    </w:p>
    <w:p w14:paraId="41DE8216" w14:textId="77777777" w:rsidR="005D314E" w:rsidRPr="00576C3D" w:rsidRDefault="005D314E" w:rsidP="00576C3D">
      <w:pPr>
        <w:pStyle w:val="Listeavsnitt2"/>
      </w:pPr>
      <w:r w:rsidRPr="00576C3D">
        <w:t xml:space="preserve">Standardverdiene skal tilsvare den gjennomsnittlige utslippsintensiteten for hvert eksportland og for hver av varene som er oppført i vedlegg I, bortsett fra elektrisitet, økt med et forholdsmessig beregnet påslag. Dette påslaget skal fastsettes i gjennomføringsrettsaktene vedtatt i henhold til artikkel 7 nr. 7 og skal fastsettes på et hensiktsmessig nivå for å sikre </w:t>
      </w:r>
      <w:proofErr w:type="spellStart"/>
      <w:r w:rsidRPr="00576C3D">
        <w:t>CBAMs</w:t>
      </w:r>
      <w:proofErr w:type="spellEnd"/>
      <w:r w:rsidRPr="00576C3D">
        <w:t xml:space="preserve"> miljøintegritet, på grunnlag av de mest oppdaterte og pålitelige opplysningene, herunder opplysninger innhentet i overgangsperioden. Når pålitelige data for eksportlandet ikke kan anvendes for en varetype, skal standardverdiene baseres på den gjennomsnittlige utslippsintensiteten for de ti eksporterende landene med høyest utslippsintensitet som det kan anvendes pålitelige data for den aktuelle typen varer for.».</w:t>
      </w:r>
    </w:p>
    <w:p w14:paraId="10316142" w14:textId="77777777" w:rsidR="005D314E" w:rsidRPr="00576C3D" w:rsidRDefault="005D314E" w:rsidP="00576C3D">
      <w:pPr>
        <w:pStyle w:val="friliste"/>
      </w:pPr>
      <w:r w:rsidRPr="00576C3D">
        <w:t>4)</w:t>
      </w:r>
      <w:r w:rsidRPr="00576C3D">
        <w:tab/>
        <w:t>I nr. 7 skal andre ledd lyde:</w:t>
      </w:r>
    </w:p>
    <w:p w14:paraId="516CDD98" w14:textId="77777777" w:rsidR="005D314E" w:rsidRPr="00576C3D" w:rsidRDefault="005D314E" w:rsidP="00576C3D">
      <w:pPr>
        <w:pStyle w:val="Listeavsnitt"/>
      </w:pPr>
      <w:r w:rsidRPr="00576C3D">
        <w:t xml:space="preserve">«Dersom </w:t>
      </w:r>
      <w:proofErr w:type="spellStart"/>
      <w:r w:rsidRPr="00576C3D">
        <w:t>deklaranter</w:t>
      </w:r>
      <w:proofErr w:type="spellEnd"/>
      <w:r w:rsidRPr="00576C3D">
        <w:t xml:space="preserve"> for varer produsert i et tredjeland, en gruppe tredjeland eller en region i et tredjeland på grunnlag av pålitelige data kan påvise at alternative regionspesifikke tilpasninger av standardverdier er lavere enn standardverdiene fastsatt av Kommisjonen, kan slike regionspesifikke tilpasninger brukes.».</w:t>
      </w:r>
    </w:p>
    <w:p w14:paraId="587DE809" w14:textId="77777777" w:rsidR="005D314E" w:rsidRPr="00576C3D" w:rsidRDefault="005D314E" w:rsidP="00576C3D">
      <w:pPr>
        <w:pStyle w:val="avsnitt-undertittel"/>
      </w:pPr>
      <w:r w:rsidRPr="00576C3D">
        <w:t>Vedlegg II</w:t>
      </w:r>
    </w:p>
    <w:p w14:paraId="713B769C" w14:textId="77777777" w:rsidR="005D314E" w:rsidRPr="00576C3D" w:rsidRDefault="005D314E" w:rsidP="00576C3D">
      <w:r w:rsidRPr="00576C3D">
        <w:t>Nytt vedlegg VII skal lyde:</w:t>
      </w:r>
    </w:p>
    <w:p w14:paraId="11423A9B" w14:textId="77777777" w:rsidR="005D314E" w:rsidRPr="00576C3D" w:rsidRDefault="005D314E" w:rsidP="00576C3D">
      <w:pPr>
        <w:rPr>
          <w:rStyle w:val="kursiv"/>
        </w:rPr>
      </w:pPr>
      <w:r w:rsidRPr="00576C3D">
        <w:rPr>
          <w:rStyle w:val="kursiv"/>
        </w:rPr>
        <w:t>«Vedlegg VII</w:t>
      </w:r>
    </w:p>
    <w:p w14:paraId="34CF1092" w14:textId="77777777" w:rsidR="005D314E" w:rsidRPr="00576C3D" w:rsidRDefault="005D314E" w:rsidP="00576C3D">
      <w:pPr>
        <w:rPr>
          <w:rStyle w:val="halvfet0"/>
        </w:rPr>
      </w:pPr>
      <w:r w:rsidRPr="00576C3D">
        <w:rPr>
          <w:rStyle w:val="halvfet0"/>
        </w:rPr>
        <w:t>Den samlede massebaserte terskelverdien</w:t>
      </w:r>
    </w:p>
    <w:p w14:paraId="06BB76BA" w14:textId="77777777" w:rsidR="005D314E" w:rsidRPr="00576C3D" w:rsidRDefault="005D314E" w:rsidP="00576C3D">
      <w:pPr>
        <w:pStyle w:val="friliste"/>
      </w:pPr>
      <w:r w:rsidRPr="00576C3D">
        <w:t>1.</w:t>
      </w:r>
      <w:r w:rsidRPr="00576C3D">
        <w:tab/>
        <w:t>Den samlede massebaserte terskelverdien nevnt i artikkel 2a skal fastsettes til 50 tonn nettomasse.</w:t>
      </w:r>
    </w:p>
    <w:p w14:paraId="60C66E32" w14:textId="77777777" w:rsidR="005D314E" w:rsidRPr="00576C3D" w:rsidRDefault="005D314E" w:rsidP="00576C3D">
      <w:pPr>
        <w:pStyle w:val="friliste"/>
      </w:pPr>
      <w:r w:rsidRPr="00576C3D">
        <w:t>2.</w:t>
      </w:r>
      <w:r w:rsidRPr="00576C3D">
        <w:tab/>
        <w:t>Med henblikk på artikkel 2a nr. 3 benyttes følgende metode:</w:t>
      </w:r>
    </w:p>
    <w:p w14:paraId="377E6FF2" w14:textId="77777777" w:rsidR="005D314E" w:rsidRPr="00576C3D" w:rsidRDefault="005D314E" w:rsidP="00576C3D">
      <w:pPr>
        <w:pStyle w:val="Tabellnavn"/>
      </w:pPr>
      <w:r w:rsidRPr="00576C3D">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060"/>
        <w:gridCol w:w="6835"/>
      </w:tblGrid>
      <w:tr w:rsidR="009D4FD2" w:rsidRPr="00576C3D" w14:paraId="45727579" w14:textId="77777777" w:rsidTr="007C7530">
        <w:trPr>
          <w:trHeight w:val="1100"/>
        </w:trPr>
        <w:tc>
          <w:tcPr>
            <w:tcW w:w="1060" w:type="dxa"/>
            <w:tcBorders>
              <w:top w:val="nil"/>
              <w:left w:val="nil"/>
              <w:bottom w:val="nil"/>
              <w:right w:val="nil"/>
            </w:tcBorders>
            <w:tcMar>
              <w:top w:w="128" w:type="dxa"/>
              <w:left w:w="43" w:type="dxa"/>
              <w:bottom w:w="43" w:type="dxa"/>
              <w:right w:w="43" w:type="dxa"/>
            </w:tcMar>
          </w:tcPr>
          <w:p w14:paraId="08997374" w14:textId="77777777" w:rsidR="005D314E" w:rsidRPr="00576C3D" w:rsidRDefault="005D314E" w:rsidP="00576C3D">
            <w:r w:rsidRPr="00576C3D">
              <w:rPr>
                <w:rStyle w:val="regular"/>
                <w:rFonts w:ascii="Cambria" w:hAnsi="Cambria" w:cs="Cambria"/>
                <w:sz w:val="21"/>
              </w:rPr>
              <w:t>Ǭ</w:t>
            </w:r>
          </w:p>
        </w:tc>
        <w:tc>
          <w:tcPr>
            <w:tcW w:w="6835" w:type="dxa"/>
            <w:tcBorders>
              <w:top w:val="nil"/>
              <w:left w:val="nil"/>
              <w:bottom w:val="nil"/>
              <w:right w:val="nil"/>
            </w:tcBorders>
            <w:tcMar>
              <w:top w:w="128" w:type="dxa"/>
              <w:left w:w="43" w:type="dxa"/>
              <w:bottom w:w="43" w:type="dxa"/>
              <w:right w:w="43" w:type="dxa"/>
            </w:tcMar>
          </w:tcPr>
          <w:p w14:paraId="01EEE922" w14:textId="4868299D" w:rsidR="005D314E" w:rsidRPr="00576C3D" w:rsidRDefault="005D314E" w:rsidP="00576C3D">
            <w:pPr>
              <w:pStyle w:val="friliste"/>
            </w:pPr>
            <w:r w:rsidRPr="00576C3D">
              <w:t>valgt slik at</w:t>
            </w:r>
            <w:r w:rsidR="007C7530">
              <w:rPr>
                <w:noProof/>
              </w:rPr>
              <w:drawing>
                <wp:inline distT="0" distB="0" distL="0" distR="0" wp14:anchorId="3B569C52" wp14:editId="5F11536F">
                  <wp:extent cx="4276725" cy="1562100"/>
                  <wp:effectExtent l="0" t="0" r="9525" b="0"/>
                  <wp:docPr id="298899345"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76725" cy="1562100"/>
                          </a:xfrm>
                          <a:prstGeom prst="rect">
                            <a:avLst/>
                          </a:prstGeom>
                          <a:noFill/>
                          <a:ln>
                            <a:noFill/>
                          </a:ln>
                        </pic:spPr>
                      </pic:pic>
                    </a:graphicData>
                  </a:graphic>
                </wp:inline>
              </w:drawing>
            </w:r>
          </w:p>
        </w:tc>
      </w:tr>
    </w:tbl>
    <w:p w14:paraId="6135638D" w14:textId="77777777" w:rsidR="005D314E" w:rsidRPr="00576C3D" w:rsidRDefault="005D314E" w:rsidP="00576C3D">
      <w:pPr>
        <w:pStyle w:val="friliste"/>
      </w:pPr>
      <w:r w:rsidRPr="00576C3D">
        <w:t>der</w:t>
      </w:r>
    </w:p>
    <w:p w14:paraId="5838F49C" w14:textId="77777777" w:rsidR="005D314E" w:rsidRPr="00576C3D" w:rsidRDefault="005D314E" w:rsidP="00576C3D">
      <w:pPr>
        <w:pStyle w:val="Tabellnavn"/>
      </w:pPr>
      <w:r w:rsidRPr="00576C3D">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060"/>
        <w:gridCol w:w="3520"/>
      </w:tblGrid>
      <w:tr w:rsidR="009D4FD2" w:rsidRPr="00576C3D" w14:paraId="3FB91CCF" w14:textId="77777777">
        <w:trPr>
          <w:trHeight w:val="380"/>
        </w:trPr>
        <w:tc>
          <w:tcPr>
            <w:tcW w:w="1060" w:type="dxa"/>
            <w:tcBorders>
              <w:top w:val="nil"/>
              <w:left w:val="nil"/>
              <w:bottom w:val="nil"/>
              <w:right w:val="nil"/>
            </w:tcBorders>
            <w:tcMar>
              <w:top w:w="128" w:type="dxa"/>
              <w:left w:w="43" w:type="dxa"/>
              <w:bottom w:w="43" w:type="dxa"/>
              <w:right w:w="43" w:type="dxa"/>
            </w:tcMar>
          </w:tcPr>
          <w:p w14:paraId="1C0CDD17" w14:textId="77777777" w:rsidR="005D314E" w:rsidRPr="00576C3D" w:rsidRDefault="005D314E" w:rsidP="00576C3D">
            <w:r w:rsidRPr="00576C3D">
              <w:t>99 %</w:t>
            </w:r>
          </w:p>
        </w:tc>
        <w:tc>
          <w:tcPr>
            <w:tcW w:w="3520" w:type="dxa"/>
            <w:tcBorders>
              <w:top w:val="nil"/>
              <w:left w:val="nil"/>
              <w:bottom w:val="nil"/>
              <w:right w:val="nil"/>
            </w:tcBorders>
            <w:tcMar>
              <w:top w:w="128" w:type="dxa"/>
              <w:left w:w="43" w:type="dxa"/>
              <w:bottom w:w="43" w:type="dxa"/>
              <w:right w:w="43" w:type="dxa"/>
            </w:tcMar>
          </w:tcPr>
          <w:p w14:paraId="348A7BB8" w14:textId="77777777" w:rsidR="005D314E" w:rsidRPr="00576C3D" w:rsidRDefault="005D314E" w:rsidP="00576C3D">
            <w:r w:rsidRPr="00576C3D">
              <w:t>er målandelen for utslipp,</w:t>
            </w:r>
          </w:p>
        </w:tc>
      </w:tr>
      <w:tr w:rsidR="009D4FD2" w:rsidRPr="00576C3D" w14:paraId="6921310F" w14:textId="77777777">
        <w:trPr>
          <w:trHeight w:val="640"/>
        </w:trPr>
        <w:tc>
          <w:tcPr>
            <w:tcW w:w="1060" w:type="dxa"/>
            <w:tcBorders>
              <w:top w:val="nil"/>
              <w:left w:val="nil"/>
              <w:bottom w:val="nil"/>
              <w:right w:val="nil"/>
            </w:tcBorders>
            <w:tcMar>
              <w:top w:w="128" w:type="dxa"/>
              <w:left w:w="43" w:type="dxa"/>
              <w:bottom w:w="43" w:type="dxa"/>
              <w:right w:w="43" w:type="dxa"/>
            </w:tcMar>
          </w:tcPr>
          <w:p w14:paraId="3B92F84F" w14:textId="77777777" w:rsidR="005D314E" w:rsidRPr="00576C3D" w:rsidRDefault="005D314E" w:rsidP="00576C3D">
            <w:r w:rsidRPr="00576C3D">
              <w:rPr>
                <w:rStyle w:val="regular"/>
                <w:rFonts w:ascii="Cambria" w:hAnsi="Cambria" w:cs="Cambria"/>
                <w:sz w:val="21"/>
              </w:rPr>
              <w:t>Ǭ</w:t>
            </w:r>
          </w:p>
        </w:tc>
        <w:tc>
          <w:tcPr>
            <w:tcW w:w="3520" w:type="dxa"/>
            <w:tcBorders>
              <w:top w:val="nil"/>
              <w:left w:val="nil"/>
              <w:bottom w:val="nil"/>
              <w:right w:val="nil"/>
            </w:tcBorders>
            <w:tcMar>
              <w:top w:w="128" w:type="dxa"/>
              <w:left w:w="43" w:type="dxa"/>
              <w:bottom w:w="43" w:type="dxa"/>
              <w:right w:w="43" w:type="dxa"/>
            </w:tcMar>
          </w:tcPr>
          <w:p w14:paraId="104CB0A4" w14:textId="77777777" w:rsidR="005D314E" w:rsidRPr="00576C3D" w:rsidRDefault="005D314E" w:rsidP="00576C3D">
            <w:r w:rsidRPr="00576C3D">
              <w:t>er masseterskelen i tonn for å fange en gitt målandel av utslippene,</w:t>
            </w:r>
          </w:p>
        </w:tc>
      </w:tr>
    </w:tbl>
    <w:p w14:paraId="49FF059D" w14:textId="2DA64C8C" w:rsidR="005D314E" w:rsidRPr="00576C3D" w:rsidRDefault="005D314E" w:rsidP="00576C3D">
      <w:pPr>
        <w:pStyle w:val="friliste"/>
      </w:pPr>
      <w:r w:rsidRPr="00576C3D">
        <w:t xml:space="preserve">Årlige utslipp per importør </w:t>
      </w:r>
      <w:r w:rsidR="007C7530">
        <w:rPr>
          <w:noProof/>
        </w:rPr>
        <w:drawing>
          <wp:inline distT="0" distB="0" distL="0" distR="0" wp14:anchorId="4BDF2207" wp14:editId="5FD34F94">
            <wp:extent cx="6076950" cy="2219325"/>
            <wp:effectExtent l="0" t="0" r="0" b="9525"/>
            <wp:docPr id="2062372054"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6950" cy="2219325"/>
                    </a:xfrm>
                    <a:prstGeom prst="rect">
                      <a:avLst/>
                    </a:prstGeom>
                    <a:noFill/>
                    <a:ln>
                      <a:noFill/>
                    </a:ln>
                  </pic:spPr>
                </pic:pic>
              </a:graphicData>
            </a:graphic>
          </wp:inline>
        </w:drawing>
      </w:r>
    </w:p>
    <w:p w14:paraId="57872EA7" w14:textId="77777777" w:rsidR="005D314E" w:rsidRPr="00576C3D" w:rsidRDefault="005D314E" w:rsidP="00576C3D">
      <w:pPr>
        <w:pStyle w:val="Tabellnavn"/>
      </w:pPr>
      <w:r w:rsidRPr="00576C3D">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068"/>
        <w:gridCol w:w="4493"/>
        <w:gridCol w:w="610"/>
      </w:tblGrid>
      <w:tr w:rsidR="00AE2FE3" w:rsidRPr="00576C3D" w14:paraId="3896BC68" w14:textId="77777777" w:rsidTr="007C7530">
        <w:trPr>
          <w:trHeight w:val="640"/>
        </w:trPr>
        <w:tc>
          <w:tcPr>
            <w:tcW w:w="4068" w:type="dxa"/>
            <w:tcBorders>
              <w:top w:val="nil"/>
              <w:left w:val="nil"/>
              <w:bottom w:val="nil"/>
              <w:right w:val="nil"/>
            </w:tcBorders>
            <w:tcMar>
              <w:top w:w="128" w:type="dxa"/>
              <w:left w:w="43" w:type="dxa"/>
              <w:bottom w:w="43" w:type="dxa"/>
              <w:right w:w="43" w:type="dxa"/>
            </w:tcMar>
          </w:tcPr>
          <w:p w14:paraId="7815959B" w14:textId="77777777" w:rsidR="005D314E" w:rsidRPr="00576C3D" w:rsidRDefault="005D314E" w:rsidP="00576C3D">
            <w:proofErr w:type="spellStart"/>
            <w:proofErr w:type="gramStart"/>
            <w:r w:rsidRPr="00576C3D">
              <w:t>q</w:t>
            </w:r>
            <w:r w:rsidRPr="00576C3D">
              <w:rPr>
                <w:rStyle w:val="skrift-senket"/>
                <w:sz w:val="21"/>
              </w:rPr>
              <w:t>i,j</w:t>
            </w:r>
            <w:proofErr w:type="spellEnd"/>
            <w:proofErr w:type="gramEnd"/>
          </w:p>
        </w:tc>
        <w:tc>
          <w:tcPr>
            <w:tcW w:w="5103" w:type="dxa"/>
            <w:gridSpan w:val="2"/>
            <w:tcBorders>
              <w:top w:val="nil"/>
              <w:left w:val="nil"/>
              <w:bottom w:val="nil"/>
              <w:right w:val="nil"/>
            </w:tcBorders>
            <w:tcMar>
              <w:top w:w="128" w:type="dxa"/>
              <w:left w:w="43" w:type="dxa"/>
              <w:bottom w:w="43" w:type="dxa"/>
              <w:right w:w="43" w:type="dxa"/>
            </w:tcMar>
          </w:tcPr>
          <w:p w14:paraId="6F194C73" w14:textId="77777777" w:rsidR="005D314E" w:rsidRPr="00576C3D" w:rsidRDefault="005D314E" w:rsidP="00576C3D">
            <w:r w:rsidRPr="00576C3D">
              <w:t>er importmengden i tonn for importør i av KN-kode j,</w:t>
            </w:r>
          </w:p>
        </w:tc>
      </w:tr>
      <w:tr w:rsidR="00AE2FE3" w:rsidRPr="00576C3D" w14:paraId="424FAAC6" w14:textId="77777777" w:rsidTr="007C7530">
        <w:trPr>
          <w:trHeight w:val="1140"/>
        </w:trPr>
        <w:tc>
          <w:tcPr>
            <w:tcW w:w="4068" w:type="dxa"/>
            <w:tcBorders>
              <w:top w:val="nil"/>
              <w:left w:val="nil"/>
              <w:bottom w:val="nil"/>
              <w:right w:val="nil"/>
            </w:tcBorders>
            <w:tcMar>
              <w:top w:w="128" w:type="dxa"/>
              <w:left w:w="43" w:type="dxa"/>
              <w:bottom w:w="43" w:type="dxa"/>
              <w:right w:w="43" w:type="dxa"/>
            </w:tcMar>
          </w:tcPr>
          <w:p w14:paraId="09C6B987" w14:textId="77777777" w:rsidR="005D314E" w:rsidRPr="00576C3D" w:rsidRDefault="005D314E" w:rsidP="00576C3D">
            <w:proofErr w:type="spellStart"/>
            <w:r w:rsidRPr="00576C3D">
              <w:t>J</w:t>
            </w:r>
            <w:r w:rsidRPr="00576C3D">
              <w:rPr>
                <w:rStyle w:val="skrift-senket"/>
                <w:sz w:val="21"/>
              </w:rPr>
              <w:t>i</w:t>
            </w:r>
            <w:proofErr w:type="spellEnd"/>
          </w:p>
        </w:tc>
        <w:tc>
          <w:tcPr>
            <w:tcW w:w="5103" w:type="dxa"/>
            <w:gridSpan w:val="2"/>
            <w:tcBorders>
              <w:top w:val="nil"/>
              <w:left w:val="nil"/>
              <w:bottom w:val="nil"/>
              <w:right w:val="nil"/>
            </w:tcBorders>
            <w:tcMar>
              <w:top w:w="128" w:type="dxa"/>
              <w:left w:w="43" w:type="dxa"/>
              <w:bottom w:w="43" w:type="dxa"/>
              <w:right w:w="43" w:type="dxa"/>
            </w:tcMar>
          </w:tcPr>
          <w:p w14:paraId="27C8180E" w14:textId="77777777" w:rsidR="005D314E" w:rsidRPr="00576C3D" w:rsidRDefault="005D314E" w:rsidP="00576C3D">
            <w:r w:rsidRPr="00576C3D">
              <w:t>er antall KN-koder importert av importør i, blant de fire sektorene som vurderes (aluminium, sement, gjødsel, jern og stål),</w:t>
            </w:r>
          </w:p>
        </w:tc>
      </w:tr>
      <w:tr w:rsidR="00AE2FE3" w:rsidRPr="00576C3D" w14:paraId="560319D3" w14:textId="77777777" w:rsidTr="007C7530">
        <w:trPr>
          <w:trHeight w:val="640"/>
        </w:trPr>
        <w:tc>
          <w:tcPr>
            <w:tcW w:w="4068" w:type="dxa"/>
            <w:tcBorders>
              <w:top w:val="nil"/>
              <w:left w:val="nil"/>
              <w:bottom w:val="nil"/>
              <w:right w:val="nil"/>
            </w:tcBorders>
            <w:tcMar>
              <w:top w:w="128" w:type="dxa"/>
              <w:left w:w="43" w:type="dxa"/>
              <w:bottom w:w="43" w:type="dxa"/>
              <w:right w:w="43" w:type="dxa"/>
            </w:tcMar>
          </w:tcPr>
          <w:p w14:paraId="05575808" w14:textId="77777777" w:rsidR="005D314E" w:rsidRPr="00576C3D" w:rsidRDefault="005D314E" w:rsidP="00576C3D">
            <w:proofErr w:type="spellStart"/>
            <w:r w:rsidRPr="00576C3D">
              <w:t>EI</w:t>
            </w:r>
            <w:r w:rsidRPr="00576C3D">
              <w:rPr>
                <w:rStyle w:val="skrift-senket"/>
                <w:sz w:val="21"/>
              </w:rPr>
              <w:t>j</w:t>
            </w:r>
            <w:proofErr w:type="spellEnd"/>
          </w:p>
        </w:tc>
        <w:tc>
          <w:tcPr>
            <w:tcW w:w="5103" w:type="dxa"/>
            <w:gridSpan w:val="2"/>
            <w:tcBorders>
              <w:top w:val="nil"/>
              <w:left w:val="nil"/>
              <w:bottom w:val="nil"/>
              <w:right w:val="nil"/>
            </w:tcBorders>
            <w:tcMar>
              <w:top w:w="128" w:type="dxa"/>
              <w:left w:w="43" w:type="dxa"/>
              <w:bottom w:w="43" w:type="dxa"/>
              <w:right w:w="43" w:type="dxa"/>
            </w:tcMar>
          </w:tcPr>
          <w:p w14:paraId="02D8E62E" w14:textId="77777777" w:rsidR="005D314E" w:rsidRPr="00576C3D" w:rsidRDefault="005D314E" w:rsidP="00576C3D">
            <w:r w:rsidRPr="00576C3D">
              <w:t>er utslippsintensiteten for KN-kode j</w:t>
            </w:r>
            <w:r w:rsidRPr="00576C3D">
              <w:rPr>
                <w:rStyle w:val="skrift-hevet"/>
                <w:sz w:val="21"/>
              </w:rPr>
              <w:t>1</w:t>
            </w:r>
            <w:bookmarkStart w:id="3" w:name="RTF4e4f54455f3133"/>
            <w:r w:rsidRPr="00576C3D">
              <w:t>,</w:t>
            </w:r>
            <w:bookmarkEnd w:id="3"/>
          </w:p>
        </w:tc>
      </w:tr>
      <w:tr w:rsidR="00AE2FE3" w:rsidRPr="00576C3D" w14:paraId="3D8C9E21" w14:textId="77777777" w:rsidTr="007C7530">
        <w:trPr>
          <w:trHeight w:val="1660"/>
        </w:trPr>
        <w:tc>
          <w:tcPr>
            <w:tcW w:w="4068" w:type="dxa"/>
            <w:tcBorders>
              <w:top w:val="nil"/>
              <w:left w:val="nil"/>
              <w:bottom w:val="nil"/>
              <w:right w:val="nil"/>
            </w:tcBorders>
            <w:tcMar>
              <w:top w:w="128" w:type="dxa"/>
              <w:left w:w="43" w:type="dxa"/>
              <w:bottom w:w="43" w:type="dxa"/>
              <w:right w:w="43" w:type="dxa"/>
            </w:tcMar>
          </w:tcPr>
          <w:p w14:paraId="50028673" w14:textId="77777777" w:rsidR="005D314E" w:rsidRPr="00576C3D" w:rsidRDefault="005D314E" w:rsidP="00576C3D">
            <w:r w:rsidRPr="00576C3D">
              <w:t>Samlede utslipp:</w:t>
            </w:r>
          </w:p>
        </w:tc>
        <w:tc>
          <w:tcPr>
            <w:tcW w:w="5103" w:type="dxa"/>
            <w:gridSpan w:val="2"/>
            <w:tcBorders>
              <w:top w:val="nil"/>
              <w:left w:val="nil"/>
              <w:bottom w:val="nil"/>
              <w:right w:val="nil"/>
            </w:tcBorders>
            <w:tcMar>
              <w:top w:w="128" w:type="dxa"/>
              <w:left w:w="43" w:type="dxa"/>
              <w:bottom w:w="43" w:type="dxa"/>
              <w:right w:w="43" w:type="dxa"/>
            </w:tcMar>
          </w:tcPr>
          <w:p w14:paraId="0BECCF9C" w14:textId="77777777" w:rsidR="005D314E" w:rsidRPr="00576C3D" w:rsidRDefault="005D314E" w:rsidP="00576C3D">
            <w:r w:rsidRPr="00576C3D">
              <w:t>samlede utslipp i CO</w:t>
            </w:r>
            <w:r w:rsidRPr="00576C3D">
              <w:rPr>
                <w:rStyle w:val="skrift-senket"/>
                <w:sz w:val="21"/>
              </w:rPr>
              <w:t>2</w:t>
            </w:r>
            <w:r w:rsidRPr="00576C3D">
              <w:t xml:space="preserve"> av de fire CBAM-sektorene som vurderes, det vil si summen av tilsvarende utslipp for alle importører:</w:t>
            </w:r>
          </w:p>
          <w:p w14:paraId="16E54162" w14:textId="12DA067C" w:rsidR="005D314E" w:rsidRPr="00576C3D" w:rsidRDefault="005D314E" w:rsidP="00576C3D">
            <w:pPr>
              <w:pStyle w:val="friliste"/>
            </w:pPr>
            <w:r w:rsidRPr="00576C3D">
              <w:t xml:space="preserve">total </w:t>
            </w:r>
            <w:proofErr w:type="spellStart"/>
            <w:r w:rsidRPr="00576C3D">
              <w:t>emissions</w:t>
            </w:r>
            <w:proofErr w:type="spellEnd"/>
            <w:r w:rsidRPr="00576C3D">
              <w:t xml:space="preserve"> =</w:t>
            </w:r>
            <w:r w:rsidR="007C7530">
              <w:rPr>
                <w:noProof/>
              </w:rPr>
              <w:drawing>
                <wp:inline distT="0" distB="0" distL="0" distR="0" wp14:anchorId="53F567F2" wp14:editId="5137873B">
                  <wp:extent cx="4171950" cy="1524000"/>
                  <wp:effectExtent l="0" t="0" r="0" b="0"/>
                  <wp:docPr id="116196548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71950" cy="1524000"/>
                          </a:xfrm>
                          <a:prstGeom prst="rect">
                            <a:avLst/>
                          </a:prstGeom>
                          <a:noFill/>
                          <a:ln>
                            <a:noFill/>
                          </a:ln>
                        </pic:spPr>
                      </pic:pic>
                    </a:graphicData>
                  </a:graphic>
                </wp:inline>
              </w:drawing>
            </w:r>
            <w:r w:rsidRPr="00576C3D">
              <w:t>,</w:t>
            </w:r>
          </w:p>
          <w:p w14:paraId="7409F86F" w14:textId="77777777" w:rsidR="005D314E" w:rsidRPr="00576C3D" w:rsidRDefault="005D314E" w:rsidP="00576C3D">
            <w:r w:rsidRPr="00576C3D">
              <w:t>der n er antall importører,</w:t>
            </w:r>
          </w:p>
        </w:tc>
      </w:tr>
      <w:tr w:rsidR="00AE2FE3" w:rsidRPr="00576C3D" w14:paraId="2AF09B64" w14:textId="77777777" w:rsidTr="007C7530">
        <w:trPr>
          <w:gridAfter w:val="1"/>
          <w:wAfter w:w="610" w:type="dxa"/>
          <w:trHeight w:val="880"/>
        </w:trPr>
        <w:tc>
          <w:tcPr>
            <w:tcW w:w="4068" w:type="dxa"/>
            <w:tcBorders>
              <w:top w:val="nil"/>
              <w:left w:val="nil"/>
              <w:bottom w:val="nil"/>
              <w:right w:val="nil"/>
            </w:tcBorders>
            <w:tcMar>
              <w:top w:w="128" w:type="dxa"/>
              <w:left w:w="43" w:type="dxa"/>
              <w:bottom w:w="43" w:type="dxa"/>
              <w:right w:w="43" w:type="dxa"/>
            </w:tcMar>
          </w:tcPr>
          <w:p w14:paraId="569B2FBA" w14:textId="57D927C6" w:rsidR="005D314E" w:rsidRPr="00576C3D" w:rsidRDefault="00D12098" w:rsidP="007C7530">
            <w:pPr>
              <w:pStyle w:val="friliste"/>
              <w:ind w:left="0" w:firstLine="0"/>
            </w:pPr>
            <w:r>
              <w:rPr>
                <w:noProof/>
              </w:rPr>
              <w:drawing>
                <wp:inline distT="0" distB="0" distL="0" distR="0" wp14:anchorId="7F260E48" wp14:editId="765B67E4">
                  <wp:extent cx="2524125" cy="923925"/>
                  <wp:effectExtent l="0" t="0" r="9525" b="0"/>
                  <wp:docPr id="558552136"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24125" cy="923925"/>
                          </a:xfrm>
                          <a:prstGeom prst="rect">
                            <a:avLst/>
                          </a:prstGeom>
                          <a:noFill/>
                          <a:ln>
                            <a:noFill/>
                          </a:ln>
                        </pic:spPr>
                      </pic:pic>
                    </a:graphicData>
                  </a:graphic>
                </wp:inline>
              </w:drawing>
            </w:r>
            <w:r w:rsidR="005D314E" w:rsidRPr="00576C3D">
              <w:t>:</w:t>
            </w:r>
          </w:p>
        </w:tc>
        <w:tc>
          <w:tcPr>
            <w:tcW w:w="4493" w:type="dxa"/>
            <w:tcBorders>
              <w:top w:val="nil"/>
              <w:left w:val="nil"/>
              <w:bottom w:val="nil"/>
              <w:right w:val="nil"/>
            </w:tcBorders>
            <w:tcMar>
              <w:top w:w="128" w:type="dxa"/>
              <w:left w:w="43" w:type="dxa"/>
              <w:bottom w:w="43" w:type="dxa"/>
              <w:right w:w="43" w:type="dxa"/>
            </w:tcMar>
          </w:tcPr>
          <w:p w14:paraId="1A82E750" w14:textId="77777777" w:rsidR="005D314E" w:rsidRPr="00576C3D" w:rsidRDefault="005D314E" w:rsidP="00576C3D">
            <w:r w:rsidRPr="00576C3D">
              <w:t>den samlede mengden i tonn av varer oppført i vedlegg I som importeres av importør i,</w:t>
            </w:r>
          </w:p>
        </w:tc>
      </w:tr>
      <w:tr w:rsidR="00AE2FE3" w:rsidRPr="00576C3D" w14:paraId="4A8974F7" w14:textId="77777777" w:rsidTr="007C7530">
        <w:trPr>
          <w:gridAfter w:val="1"/>
          <w:wAfter w:w="610" w:type="dxa"/>
          <w:trHeight w:val="1140"/>
        </w:trPr>
        <w:tc>
          <w:tcPr>
            <w:tcW w:w="4068" w:type="dxa"/>
            <w:tcBorders>
              <w:top w:val="nil"/>
              <w:left w:val="nil"/>
              <w:bottom w:val="nil"/>
              <w:right w:val="nil"/>
            </w:tcBorders>
            <w:tcMar>
              <w:top w:w="128" w:type="dxa"/>
              <w:left w:w="43" w:type="dxa"/>
              <w:bottom w:w="43" w:type="dxa"/>
              <w:right w:w="43" w:type="dxa"/>
            </w:tcMar>
          </w:tcPr>
          <w:p w14:paraId="6B860F10" w14:textId="77777777" w:rsidR="005D314E" w:rsidRPr="00576C3D" w:rsidRDefault="005D314E" w:rsidP="00576C3D">
            <w:r w:rsidRPr="00576C3D">
              <w:t>1(Q</w:t>
            </w:r>
            <w:r w:rsidRPr="00576C3D">
              <w:rPr>
                <w:rStyle w:val="skrift-senket"/>
                <w:sz w:val="21"/>
              </w:rPr>
              <w:t>i</w:t>
            </w:r>
            <w:r w:rsidRPr="00576C3D">
              <w:t xml:space="preserve"> &gt; </w:t>
            </w:r>
            <w:r w:rsidRPr="00576C3D">
              <w:rPr>
                <w:rStyle w:val="regular"/>
                <w:rFonts w:ascii="Cambria" w:hAnsi="Cambria" w:cs="Cambria"/>
                <w:sz w:val="21"/>
              </w:rPr>
              <w:t>Ǭ</w:t>
            </w:r>
            <w:r w:rsidRPr="00576C3D">
              <w:t>)</w:t>
            </w:r>
          </w:p>
        </w:tc>
        <w:tc>
          <w:tcPr>
            <w:tcW w:w="4493" w:type="dxa"/>
            <w:tcBorders>
              <w:top w:val="nil"/>
              <w:left w:val="nil"/>
              <w:bottom w:val="nil"/>
              <w:right w:val="nil"/>
            </w:tcBorders>
            <w:tcMar>
              <w:top w:w="128" w:type="dxa"/>
              <w:left w:w="43" w:type="dxa"/>
              <w:bottom w:w="43" w:type="dxa"/>
              <w:right w:w="43" w:type="dxa"/>
            </w:tcMar>
          </w:tcPr>
          <w:p w14:paraId="10FCBA73" w14:textId="77777777" w:rsidR="005D314E" w:rsidRPr="00576C3D" w:rsidRDefault="005D314E" w:rsidP="00576C3D">
            <w:r w:rsidRPr="00576C3D">
              <w:t>er en indikatorfunksjon lik 1 når Q</w:t>
            </w:r>
            <w:r w:rsidRPr="00576C3D">
              <w:rPr>
                <w:rStyle w:val="skrift-senket"/>
                <w:sz w:val="21"/>
              </w:rPr>
              <w:t>i</w:t>
            </w:r>
            <w:r w:rsidRPr="00576C3D">
              <w:t xml:space="preserve"> &gt; </w:t>
            </w:r>
            <w:r w:rsidRPr="00576C3D">
              <w:rPr>
                <w:rStyle w:val="regular"/>
                <w:rFonts w:ascii="Cambria" w:hAnsi="Cambria" w:cs="Cambria"/>
                <w:sz w:val="21"/>
              </w:rPr>
              <w:t>Ǭ</w:t>
            </w:r>
            <w:r w:rsidRPr="00576C3D">
              <w:t xml:space="preserve"> (det vil si når en importør importerer mengder som er høyere enn masseterskelen </w:t>
            </w:r>
            <w:r w:rsidRPr="00576C3D">
              <w:rPr>
                <w:rStyle w:val="regular"/>
                <w:rFonts w:ascii="Cambria" w:hAnsi="Cambria" w:cs="Cambria"/>
                <w:sz w:val="21"/>
              </w:rPr>
              <w:t>Ǭ</w:t>
            </w:r>
            <w:r w:rsidRPr="00576C3D">
              <w:t>), ellers 0.</w:t>
            </w:r>
          </w:p>
        </w:tc>
      </w:tr>
    </w:tbl>
    <w:p w14:paraId="6F9B2FD6" w14:textId="551BAAE9" w:rsidR="005D314E" w:rsidRDefault="005D314E" w:rsidP="00AE2FE3">
      <w:pPr>
        <w:pStyle w:val="tabell-noter"/>
        <w:numPr>
          <w:ilvl w:val="0"/>
          <w:numId w:val="174"/>
        </w:numPr>
      </w:pPr>
      <w:r w:rsidRPr="00576C3D">
        <w:t xml:space="preserve">Utslippsintensitetene </w:t>
      </w:r>
      <w:proofErr w:type="spellStart"/>
      <w:r w:rsidRPr="00576C3D">
        <w:t>E</w:t>
      </w:r>
      <w:r w:rsidRPr="00576C3D">
        <w:rPr>
          <w:rStyle w:val="skrift-senket"/>
        </w:rPr>
        <w:t>j</w:t>
      </w:r>
      <w:proofErr w:type="spellEnd"/>
      <w:r w:rsidRPr="00576C3D">
        <w:t xml:space="preserve"> er basert på standardverdier (uten påslag) for utslipp publisert for overgangsperioden. For sement- og gjødselprodukter tas det hensyn til direkte utslipp og indirekte utslipp, mens det for aluminiums-, jern- og stålprodukter kun tas hensyn til direkte utslipp. For framtidige oppdateringer av den samlede massebaserte terskelverdien skal standardverdiene fastsettes i samsvar med metodene fastsatt i vedlegg IV uten påslaget omhandlet i vedlegg IV nr. 4.1.</w:t>
      </w:r>
    </w:p>
    <w:p w14:paraId="2F87289E" w14:textId="77777777" w:rsidR="005D314E" w:rsidRPr="00576C3D" w:rsidRDefault="005D314E" w:rsidP="00576C3D">
      <w:pPr>
        <w:pStyle w:val="Listeavsnitt"/>
      </w:pPr>
      <w:r w:rsidRPr="00576C3D">
        <w:t>For å fange opp usikkerhet om endringer i handelsmønstre, samtidig som miljømålet for denne forordningen opprettholdes, legges det til en margin på 0,25 prosentpoeng til den ovennevnte målandelen av utslippene.</w:t>
      </w:r>
    </w:p>
    <w:p w14:paraId="6F2E033F" w14:textId="77777777" w:rsidR="005D314E" w:rsidRPr="00576C3D" w:rsidRDefault="005D314E" w:rsidP="00576C3D">
      <w:pPr>
        <w:pStyle w:val="Listeavsnitt"/>
      </w:pPr>
      <w:r w:rsidRPr="00576C3D">
        <w:t>Den samlede massebaserte terskelverdien skal avrundes til nærmeste titall.».</w:t>
      </w:r>
    </w:p>
    <w:p w14:paraId="533F7D86" w14:textId="7795935A" w:rsidR="005D314E" w:rsidRPr="007C7530" w:rsidRDefault="00AE2FE3" w:rsidP="00AE2FE3">
      <w:pPr>
        <w:pStyle w:val="Overskrift1"/>
        <w:rPr>
          <w:color w:val="EE0000"/>
        </w:rPr>
      </w:pPr>
      <w:r w:rsidRPr="007C7530">
        <w:rPr>
          <w:color w:val="EE0000"/>
        </w:rPr>
        <w:t>[</w:t>
      </w:r>
      <w:proofErr w:type="spellStart"/>
      <w:r w:rsidRPr="007C7530">
        <w:rPr>
          <w:color w:val="EE0000"/>
        </w:rPr>
        <w:t>Vedleggsnr</w:t>
      </w:r>
      <w:proofErr w:type="spellEnd"/>
      <w:r w:rsidRPr="007C7530">
        <w:rPr>
          <w:color w:val="EE0000"/>
        </w:rPr>
        <w:t>. resett]</w:t>
      </w:r>
    </w:p>
    <w:p w14:paraId="45BF5E69" w14:textId="3E33CC04" w:rsidR="005D314E" w:rsidRPr="00576C3D" w:rsidRDefault="005D314E" w:rsidP="00576C3D">
      <w:pPr>
        <w:pStyle w:val="vedlegg-nr"/>
      </w:pPr>
    </w:p>
    <w:p w14:paraId="5995CF17" w14:textId="77777777" w:rsidR="005D314E" w:rsidRPr="00576C3D" w:rsidRDefault="005D314E" w:rsidP="00576C3D">
      <w:pPr>
        <w:pStyle w:val="vedlegg-tit"/>
      </w:pPr>
      <w:r w:rsidRPr="00576C3D">
        <w:t>EØS-KOMITEENS BESLUTNING nr. [...] av [...] om endring av EØS-avtalens vedlegg XX (Miljø)</w:t>
      </w:r>
    </w:p>
    <w:p w14:paraId="6336833D" w14:textId="77777777" w:rsidR="005D314E" w:rsidRPr="00576C3D" w:rsidRDefault="005D314E" w:rsidP="00576C3D">
      <w:r w:rsidRPr="00576C3D">
        <w:t>EØS-KOMITEEN HAR –</w:t>
      </w:r>
    </w:p>
    <w:p w14:paraId="3D55ABDA" w14:textId="77777777" w:rsidR="005D314E" w:rsidRPr="00576C3D" w:rsidRDefault="005D314E" w:rsidP="00576C3D">
      <w:r w:rsidRPr="00576C3D">
        <w:t>under henvisning til avtalen om Det europeiske økonomiske samarbeidsområde, heretter kalt EØS-avtalen, særlig artikkel 98, om endring av forordning (EU) 2023/956 med hensyn til forenkling og styrking av karbongrensejusteringsmekanismen og ut fra følgende betraktninger:</w:t>
      </w:r>
    </w:p>
    <w:p w14:paraId="1AAEAB3B" w14:textId="77777777" w:rsidR="005D314E" w:rsidRPr="00576C3D" w:rsidRDefault="005D314E" w:rsidP="00576C3D">
      <w:pPr>
        <w:pStyle w:val="friliste"/>
      </w:pPr>
      <w:r w:rsidRPr="00576C3D">
        <w:t>1)</w:t>
      </w:r>
      <w:r w:rsidRPr="00576C3D">
        <w:tab/>
        <w:t>Europaparlaments- og rådsforordning (EU) 2023/956 av 10. mai 2023 om opprettelse av en karbongrensejusteringsmekanisme</w:t>
      </w:r>
      <w:r w:rsidRPr="00576C3D">
        <w:rPr>
          <w:rStyle w:val="Fotnotereferanse"/>
        </w:rPr>
        <w:footnoteReference w:id="38"/>
      </w:r>
      <w:r w:rsidRPr="00576C3D">
        <w:t xml:space="preserve"> skal innlemmes i EØS-avtalen.</w:t>
      </w:r>
    </w:p>
    <w:p w14:paraId="39EBB287" w14:textId="77777777" w:rsidR="005D314E" w:rsidRPr="00576C3D" w:rsidRDefault="005D314E" w:rsidP="00576C3D">
      <w:pPr>
        <w:pStyle w:val="friliste"/>
      </w:pPr>
      <w:r w:rsidRPr="00576C3D">
        <w:t>2)</w:t>
      </w:r>
      <w:r w:rsidRPr="00576C3D">
        <w:tab/>
        <w:t>Europaparlaments- og rådsforordning (EU) 2025/2083 av 8. oktober 2025 om endring av forordning (EU) 2023/956 med hensyn til forenkling og styrking av karbongrensejusteringsmekanismen</w:t>
      </w:r>
      <w:r w:rsidRPr="00576C3D">
        <w:rPr>
          <w:rStyle w:val="Fotnotereferanse"/>
        </w:rPr>
        <w:footnoteReference w:id="39"/>
      </w:r>
      <w:r w:rsidRPr="00576C3D">
        <w:t xml:space="preserve"> skal innlemmes i EØS-avtalen.</w:t>
      </w:r>
    </w:p>
    <w:p w14:paraId="222CB272" w14:textId="77777777" w:rsidR="005D314E" w:rsidRPr="00576C3D" w:rsidRDefault="005D314E" w:rsidP="00576C3D">
      <w:pPr>
        <w:pStyle w:val="friliste"/>
      </w:pPr>
      <w:r w:rsidRPr="00576C3D">
        <w:t>3)</w:t>
      </w:r>
      <w:r w:rsidRPr="00576C3D">
        <w:tab/>
        <w:t>Ved fastsettelse av opprinnelsen til varer som omfattes av virkeområdet til forordning (EU) 2023/956, skal importerte varer anses å ha sin opprinnelse i tredjeland i samsvar med reglene for ikke-</w:t>
      </w:r>
      <w:proofErr w:type="spellStart"/>
      <w:r w:rsidRPr="00576C3D">
        <w:t>preferensiell</w:t>
      </w:r>
      <w:proofErr w:type="spellEnd"/>
      <w:r w:rsidRPr="00576C3D">
        <w:t xml:space="preserve"> opprinnelse fastsatt i Unionens tollregelverk i artikkel 59 i forordning (EU) nr. 952/2013, for hvilke EFTA-statene vil vedta tilsvarende opprinnelsesregler i sin nasjonale lovgivning. Likeledes, for at det skal kunne fastslås hvorvidt importerte varer omfattes av virkeområdet til forordning (EU) 2023/956, skal importerte varer klassifiseres ved KN-koder som fastsatt i Unionens tollregelverk i forordning (EØF) nr. 2658/87, for hvilke EFTA-statene vil vedta tilsvarende klassifisering for å oppfylle sine forpliktelser i henhold til forordning (EU) 2023/956 i sin nasjonale lovgivning. For å sikre et ensartet CBAM-område som inkluderer EFTA-statene, og et velfungerende indre marked skal Kommisjonen underrette EFTA-statene om enhver endring i reglene for ikke-</w:t>
      </w:r>
      <w:proofErr w:type="spellStart"/>
      <w:r w:rsidRPr="00576C3D">
        <w:t>preferensiell</w:t>
      </w:r>
      <w:proofErr w:type="spellEnd"/>
      <w:r w:rsidRPr="00576C3D">
        <w:t xml:space="preserve"> opprinnelse i henhold til artikkel 59 i forordning (EU) nr. 952/2013, og klassifisering av varer i henhold til forordning (EØF) nr. 2658/87, og EFTA-statene vil bestrebe seg på å vedta tilsvarende endringer så nært opptil ikrafttredelsesdatoen i EU som mulig.</w:t>
      </w:r>
    </w:p>
    <w:p w14:paraId="27C68B3E" w14:textId="77777777" w:rsidR="005D314E" w:rsidRPr="00576C3D" w:rsidRDefault="005D314E" w:rsidP="00576C3D">
      <w:pPr>
        <w:pStyle w:val="friliste"/>
      </w:pPr>
      <w:r w:rsidRPr="00576C3D">
        <w:t>4)</w:t>
      </w:r>
      <w:r w:rsidRPr="00576C3D">
        <w:tab/>
        <w:t>Inntekter fra salg av CBAM-sertifikater til CBAM-</w:t>
      </w:r>
      <w:proofErr w:type="spellStart"/>
      <w:r w:rsidRPr="00576C3D">
        <w:t>deklaranter</w:t>
      </w:r>
      <w:proofErr w:type="spellEnd"/>
      <w:r w:rsidRPr="00576C3D">
        <w:t xml:space="preserve"> etablert i EFTA-statene skal tilfalle EFTA-statene. Når det gjelder bearbeidede produkter som er et resultat av innenlands bearbeiding av varer oppført i vedlegg I til forordning (EU) 2023/956 med opprinnelse i tredjeland som importeres til Unionens tollområde eller til en EFTA-stats tollområde, skal inntektene tilfalle den parten som de bearbeidede produktene forflyttes fra.</w:t>
      </w:r>
    </w:p>
    <w:p w14:paraId="06D89C79" w14:textId="77777777" w:rsidR="005D314E" w:rsidRPr="00576C3D" w:rsidRDefault="005D314E" w:rsidP="00576C3D">
      <w:pPr>
        <w:pStyle w:val="friliste"/>
      </w:pPr>
      <w:r w:rsidRPr="00576C3D">
        <w:t>5)</w:t>
      </w:r>
      <w:r w:rsidRPr="00576C3D">
        <w:tab/>
        <w:t xml:space="preserve">Europaparlaments- og rådsdirektiv 2003/87/EF om opprettelse av en ordning for handel med utslippskvoter for klimagasser i Fellesskapet ble innlemmet i EØS-avtalen ved EØS-komiteens beslutning nr. 146/2007. Artikkel 25 i direktivet, som innlemmet i EØS-avtalen i vedlegg XX nr. 21al tilpasning u), utgjør det rettslige grunnlaget for inngåelse av avtaler nevnt i artikkel 2 nr. 6 bokstav a) i forordning (EU) 2023/956. Fortalepunkt 17 i EØS-komiteens beslutning nr. 146/2007, som omhandler ikke-diskriminering av EFTA-statene og deres operatører, gjelder også for </w:t>
      </w:r>
      <w:proofErr w:type="gramStart"/>
      <w:r w:rsidRPr="00576C3D">
        <w:t>anvendelsen</w:t>
      </w:r>
      <w:proofErr w:type="gramEnd"/>
      <w:r w:rsidRPr="00576C3D">
        <w:t xml:space="preserve"> av slike avtaler i henhold til CBAM-forordningen.</w:t>
      </w:r>
    </w:p>
    <w:p w14:paraId="3EF7845B" w14:textId="77777777" w:rsidR="005D314E" w:rsidRPr="00576C3D" w:rsidRDefault="005D314E" w:rsidP="00576C3D">
      <w:pPr>
        <w:pStyle w:val="friliste"/>
      </w:pPr>
      <w:r w:rsidRPr="00576C3D">
        <w:t>6)</w:t>
      </w:r>
      <w:r w:rsidRPr="00576C3D">
        <w:tab/>
        <w:t>[Plassholder for mulige betraktninger]</w:t>
      </w:r>
    </w:p>
    <w:p w14:paraId="389D6BF4" w14:textId="77777777" w:rsidR="005D314E" w:rsidRPr="00576C3D" w:rsidRDefault="005D314E" w:rsidP="00576C3D">
      <w:pPr>
        <w:pStyle w:val="friliste"/>
      </w:pPr>
      <w:r w:rsidRPr="00576C3D">
        <w:t>7)</w:t>
      </w:r>
      <w:r w:rsidRPr="00576C3D">
        <w:tab/>
        <w:t>EØS-avtalens vedlegg XX bør derfor endres –</w:t>
      </w:r>
    </w:p>
    <w:p w14:paraId="0A4341C4" w14:textId="77777777" w:rsidR="005D314E" w:rsidRPr="00576C3D" w:rsidRDefault="005D314E" w:rsidP="00576C3D">
      <w:r w:rsidRPr="00576C3D">
        <w:t>TRUFFET DENNE BESLUTNING:</w:t>
      </w:r>
    </w:p>
    <w:p w14:paraId="513EB2AD" w14:textId="77777777" w:rsidR="005D314E" w:rsidRPr="00576C3D" w:rsidRDefault="005D314E" w:rsidP="00576C3D">
      <w:pPr>
        <w:pStyle w:val="avsnitt-undertittel"/>
      </w:pPr>
      <w:r w:rsidRPr="00576C3D">
        <w:t>Artikkel 1</w:t>
      </w:r>
    </w:p>
    <w:p w14:paraId="6D5972B5" w14:textId="77777777" w:rsidR="005D314E" w:rsidRPr="00576C3D" w:rsidRDefault="005D314E" w:rsidP="00576C3D">
      <w:r w:rsidRPr="00576C3D">
        <w:t>I EØS-avtalens vedlegg XX, etter nr. 21azq (Kommisjonens gjennomføringsbeslutning (EU) 2024/865), skal nytt nummer lyde:</w:t>
      </w:r>
    </w:p>
    <w:p w14:paraId="1B927E1F" w14:textId="77777777" w:rsidR="005D314E" w:rsidRPr="00576C3D" w:rsidRDefault="005D314E" w:rsidP="00576C3D">
      <w:r w:rsidRPr="00576C3D">
        <w:t>«21azr.</w:t>
      </w:r>
      <w:r w:rsidRPr="00576C3D">
        <w:tab/>
      </w:r>
      <w:r w:rsidRPr="00576C3D">
        <w:rPr>
          <w:rStyle w:val="halvfet0"/>
        </w:rPr>
        <w:t>32023 R 0956</w:t>
      </w:r>
      <w:r w:rsidRPr="00576C3D">
        <w:t>: Europaparlaments- og rådsforordning (EU) 2023/956 av 10. mai 2023 om opprettelse av en karbongrensejusteringsmekanisme (EUT L 130 av 16.5.2023, s. 52), endret ved:</w:t>
      </w:r>
    </w:p>
    <w:p w14:paraId="5DFD222F" w14:textId="77777777" w:rsidR="005D314E" w:rsidRPr="00576C3D" w:rsidRDefault="005D314E" w:rsidP="00576C3D">
      <w:pPr>
        <w:pStyle w:val="Liste"/>
      </w:pPr>
      <w:r w:rsidRPr="00576C3D">
        <w:rPr>
          <w:rStyle w:val="halvfet0"/>
        </w:rPr>
        <w:t>32025 R 2083:</w:t>
      </w:r>
      <w:r w:rsidRPr="00576C3D">
        <w:t xml:space="preserve"> Europaparlaments- og rådsforordning (EU) 2025/2083 av 8. oktober 2025 (EUT L, 2025/2083, 17.10.2025).</w:t>
      </w:r>
    </w:p>
    <w:p w14:paraId="53154462" w14:textId="77777777" w:rsidR="005D314E" w:rsidRPr="00576C3D" w:rsidRDefault="005D314E" w:rsidP="00576C3D">
      <w:pPr>
        <w:pStyle w:val="Listeavsnitt"/>
      </w:pPr>
      <w:r w:rsidRPr="00576C3D">
        <w:t>Forordningens bestemmelser skal for denne avtales formål gjelde med følgende tilpasninger:</w:t>
      </w:r>
    </w:p>
    <w:p w14:paraId="71ED3F3C" w14:textId="77777777" w:rsidR="005D314E" w:rsidRPr="00576C3D" w:rsidRDefault="005D314E" w:rsidP="00576C3D">
      <w:pPr>
        <w:pStyle w:val="friliste2"/>
      </w:pPr>
      <w:r w:rsidRPr="00576C3D">
        <w:t>a)</w:t>
      </w:r>
      <w:r w:rsidRPr="00576C3D">
        <w:tab/>
        <w:t>I artikkel 1 nr. 1 og 2 skal ordene ‘, eller EFTA-statenes tollområder’ tilføyes etter ordene ‘Unionens tollområde’.</w:t>
      </w:r>
    </w:p>
    <w:p w14:paraId="359FE69F" w14:textId="77777777" w:rsidR="005D314E" w:rsidRPr="00576C3D" w:rsidRDefault="005D314E" w:rsidP="00576C3D">
      <w:pPr>
        <w:pStyle w:val="friliste2"/>
      </w:pPr>
      <w:r w:rsidRPr="00576C3D">
        <w:t>b)</w:t>
      </w:r>
      <w:r w:rsidRPr="00576C3D">
        <w:tab/>
        <w:t>I artikkel 2:</w:t>
      </w:r>
    </w:p>
    <w:p w14:paraId="525F251F" w14:textId="77777777" w:rsidR="005D314E" w:rsidRPr="00576C3D" w:rsidRDefault="005D314E" w:rsidP="00576C3D">
      <w:pPr>
        <w:pStyle w:val="friliste3"/>
      </w:pPr>
      <w:r w:rsidRPr="00576C3D">
        <w:t>i)</w:t>
      </w:r>
      <w:r w:rsidRPr="00576C3D">
        <w:tab/>
        <w:t>i nr. 1 og i nr. 2 første ledd skal ordene ‘eller, når det gjelder EFTA-statene, de tilsvarende prosedyrene i samsvar med EFTA-statenes respektive nasjonale tollovgivning’ tilføyes etter henvisningen til artikkel 256 i forordning (EU) nr. 952/2013,</w:t>
      </w:r>
    </w:p>
    <w:p w14:paraId="271FFB6B" w14:textId="77777777" w:rsidR="005D314E" w:rsidRPr="00576C3D" w:rsidRDefault="005D314E" w:rsidP="00576C3D">
      <w:pPr>
        <w:pStyle w:val="friliste3"/>
      </w:pPr>
      <w:r w:rsidRPr="00576C3D">
        <w:t>ii)</w:t>
      </w:r>
      <w:r w:rsidRPr="00576C3D">
        <w:tab/>
        <w:t>i artikkel 1, 2 og 7 skal ordene ‘eller EFTA-statenes tollområder’ tilføyes etter ordene ‘Unionens tollområde’,</w:t>
      </w:r>
    </w:p>
    <w:p w14:paraId="10FCF398" w14:textId="77777777" w:rsidR="005D314E" w:rsidRPr="00576C3D" w:rsidRDefault="005D314E" w:rsidP="00576C3D">
      <w:pPr>
        <w:pStyle w:val="friliste3"/>
      </w:pPr>
      <w:r w:rsidRPr="00576C3D">
        <w:t>iii)</w:t>
      </w:r>
      <w:r w:rsidRPr="00576C3D">
        <w:tab/>
        <w:t>i nr. 2 skal nytt ledd lyde:</w:t>
      </w:r>
    </w:p>
    <w:p w14:paraId="5319B8C7" w14:textId="77777777" w:rsidR="005D314E" w:rsidRPr="00576C3D" w:rsidRDefault="005D314E" w:rsidP="00576C3D">
      <w:pPr>
        <w:pStyle w:val="Listeavsnitt2"/>
      </w:pPr>
      <w:r w:rsidRPr="00576C3D">
        <w:t xml:space="preserve">‘Denne forordningen får også </w:t>
      </w:r>
      <w:proofErr w:type="gramStart"/>
      <w:r w:rsidRPr="00576C3D">
        <w:t>anvendelse</w:t>
      </w:r>
      <w:proofErr w:type="gramEnd"/>
      <w:r w:rsidRPr="00576C3D">
        <w:t xml:space="preserve"> på:</w:t>
      </w:r>
    </w:p>
    <w:p w14:paraId="1CD28ABA" w14:textId="77777777" w:rsidR="005D314E" w:rsidRPr="00576C3D" w:rsidRDefault="005D314E" w:rsidP="00576C3D">
      <w:pPr>
        <w:pStyle w:val="friliste4"/>
      </w:pPr>
      <w:r w:rsidRPr="00576C3D">
        <w:t>a)</w:t>
      </w:r>
      <w:r w:rsidRPr="00576C3D">
        <w:tab/>
        <w:t>bearbeidede produkter fra varer oppført i vedlegg I med opprinnelse i et tredjeland som er et resultat av prosedyren for innenlands bearbeiding nevnt i artikkel 256 i forordning (EU) nr. 952/2013, når de bringes inn til en EFTA-stats tollområde, forutsatt at de importeres til et av disse tollområdene, og</w:t>
      </w:r>
    </w:p>
    <w:p w14:paraId="5420D2A4" w14:textId="77777777" w:rsidR="005D314E" w:rsidRPr="00576C3D" w:rsidRDefault="005D314E" w:rsidP="00576C3D">
      <w:pPr>
        <w:pStyle w:val="friliste4"/>
      </w:pPr>
      <w:r w:rsidRPr="00576C3D">
        <w:t>b)</w:t>
      </w:r>
      <w:r w:rsidRPr="00576C3D">
        <w:tab/>
        <w:t>når det gjelder EFTA-statene, bearbeidede produkter fra varer oppført i vedlegg I med opprinnelse i et tredjeland som er et resultat av de tilsvarende prosedyrene i samsvar med EFTA-statenes respektive nasjonale lovgivning, når de bringes inn til Unionens tollområde, forutsatt at de importeres til dette tollområdet.’</w:t>
      </w:r>
    </w:p>
    <w:p w14:paraId="0A3DCBF3" w14:textId="77777777" w:rsidR="005D314E" w:rsidRPr="00576C3D" w:rsidRDefault="005D314E" w:rsidP="00576C3D">
      <w:pPr>
        <w:pStyle w:val="friliste3"/>
      </w:pPr>
      <w:r w:rsidRPr="00576C3D">
        <w:t>iv)</w:t>
      </w:r>
      <w:r w:rsidRPr="00576C3D">
        <w:tab/>
        <w:t>i nr. 4 skal nye ledd lyde:</w:t>
      </w:r>
    </w:p>
    <w:p w14:paraId="7FC5F21B" w14:textId="77777777" w:rsidR="005D314E" w:rsidRPr="00576C3D" w:rsidRDefault="005D314E" w:rsidP="00576C3D">
      <w:pPr>
        <w:pStyle w:val="Listeavsnitt3"/>
      </w:pPr>
      <w:r w:rsidRPr="00576C3D">
        <w:t xml:space="preserve">‘Som unntak fra nr. 1 og 2 får denne forordningen ikke </w:t>
      </w:r>
      <w:proofErr w:type="gramStart"/>
      <w:r w:rsidRPr="00576C3D">
        <w:t>anvendelse</w:t>
      </w:r>
      <w:proofErr w:type="gramEnd"/>
      <w:r w:rsidRPr="00576C3D">
        <w:t xml:space="preserve"> på varer som tidligere er frigitt til fri disponering i Unionens eller en EFTA-stats tollområde, forutsatt at </w:t>
      </w:r>
      <w:proofErr w:type="spellStart"/>
      <w:r w:rsidRPr="00576C3D">
        <w:t>tolldeklaranten</w:t>
      </w:r>
      <w:proofErr w:type="spellEnd"/>
      <w:r w:rsidRPr="00576C3D">
        <w:t xml:space="preserve"> angir i den etterfølgende tolldeklarasjonen at varene tidligere er blitt frigitt til fri disponering.</w:t>
      </w:r>
    </w:p>
    <w:p w14:paraId="67E5E4ED" w14:textId="77777777" w:rsidR="005D314E" w:rsidRPr="00576C3D" w:rsidRDefault="005D314E" w:rsidP="00576C3D">
      <w:pPr>
        <w:pStyle w:val="Listeavsnitt3"/>
      </w:pPr>
      <w:r w:rsidRPr="00576C3D">
        <w:t xml:space="preserve">På anmodning fra tollmyndigheten der varene importeres, skal </w:t>
      </w:r>
      <w:proofErr w:type="spellStart"/>
      <w:r w:rsidRPr="00576C3D">
        <w:t>tolldeklaranten</w:t>
      </w:r>
      <w:proofErr w:type="spellEnd"/>
      <w:r w:rsidRPr="00576C3D">
        <w:t xml:space="preserve"> gjøre tilgjengelig dokumentasjon eller opplysninger som beviser at varene tidligere er blitt frigitt til fri disponering innenfor Unionens eller en EFTA-stats tollområde. </w:t>
      </w:r>
      <w:proofErr w:type="spellStart"/>
      <w:r w:rsidRPr="00576C3D">
        <w:t>Tolldeklaranten</w:t>
      </w:r>
      <w:proofErr w:type="spellEnd"/>
      <w:r w:rsidRPr="00576C3D">
        <w:t xml:space="preserve"> skal ha ansvaret for at dette beviset er tilgjengelig på det tidspunktet tolldeklarasjonen inngis.’,</w:t>
      </w:r>
    </w:p>
    <w:p w14:paraId="798C4052" w14:textId="77777777" w:rsidR="005D314E" w:rsidRPr="00576C3D" w:rsidRDefault="005D314E" w:rsidP="00576C3D">
      <w:pPr>
        <w:pStyle w:val="friliste3"/>
      </w:pPr>
      <w:r w:rsidRPr="00576C3D">
        <w:t>v)</w:t>
      </w:r>
      <w:r w:rsidRPr="00576C3D">
        <w:tab/>
        <w:t>i nr. 5:</w:t>
      </w:r>
    </w:p>
    <w:p w14:paraId="148C7D08" w14:textId="77777777" w:rsidR="005D314E" w:rsidRPr="00576C3D" w:rsidRDefault="005D314E" w:rsidP="00576C3D">
      <w:pPr>
        <w:pStyle w:val="friliste3"/>
      </w:pPr>
      <w:r w:rsidRPr="00576C3D">
        <w:t>i)</w:t>
      </w:r>
      <w:r w:rsidRPr="00576C3D">
        <w:tab/>
        <w:t>ordene ‘eller, når det gjelder EFTA-statene, de tilsvarende reglene i samsvar med EFTA-statenes respektive nasjonale lovgivning’ skal tilføyes etter henvisningen til artikkel 59 i forordning (EU) nr. 952/2013,</w:t>
      </w:r>
    </w:p>
    <w:p w14:paraId="6CA55D77" w14:textId="77777777" w:rsidR="005D314E" w:rsidRPr="00576C3D" w:rsidRDefault="005D314E" w:rsidP="00576C3D">
      <w:pPr>
        <w:pStyle w:val="friliste3"/>
      </w:pPr>
      <w:r w:rsidRPr="00576C3D">
        <w:t>ii)</w:t>
      </w:r>
      <w:r w:rsidRPr="00576C3D">
        <w:tab/>
        <w:t>nytt ledd skal lyde:</w:t>
      </w:r>
    </w:p>
    <w:p w14:paraId="1EFF9BF6" w14:textId="77777777" w:rsidR="005D314E" w:rsidRPr="00576C3D" w:rsidRDefault="005D314E" w:rsidP="00576C3D">
      <w:pPr>
        <w:pStyle w:val="Listeavsnitt3"/>
      </w:pPr>
      <w:r w:rsidRPr="00576C3D">
        <w:t>‘Senest 30 dager før endringer i reglene for ikke-</w:t>
      </w:r>
      <w:proofErr w:type="spellStart"/>
      <w:r w:rsidRPr="00576C3D">
        <w:t>preferensiell</w:t>
      </w:r>
      <w:proofErr w:type="spellEnd"/>
      <w:r w:rsidRPr="00576C3D">
        <w:t xml:space="preserve"> opprinnelse som nevnt i artikkel 59 i forordning (EU) nr. 952/2013 trer i kraft i Unionen, skal Unionen underrette EFTA-statenes faste komité om de foreslåtte endringene. EFTA-statene skal innen 45 dager etter å ha mottatt underretningen treffe en tilsvarende beslutning om endring av sine tilsvarende regler i samsvar med sin respektive nasjonale lovgivning. EØS-komiteen skal underrettes om disse beslutningene og skal jevnlig offentliggjøre en liste over beslutningene i EØS-tillegget til Den europeiske unions tidende.’,</w:t>
      </w:r>
    </w:p>
    <w:p w14:paraId="4F0EFE6A" w14:textId="77777777" w:rsidR="005D314E" w:rsidRPr="00576C3D" w:rsidRDefault="005D314E" w:rsidP="00576C3D">
      <w:pPr>
        <w:pStyle w:val="friliste3"/>
      </w:pPr>
      <w:r w:rsidRPr="00576C3D">
        <w:t>vi)</w:t>
      </w:r>
      <w:r w:rsidRPr="00576C3D">
        <w:tab/>
        <w:t>i nr. 12 skal nytt ledd lyde:</w:t>
      </w:r>
    </w:p>
    <w:p w14:paraId="0D42FE61" w14:textId="77777777" w:rsidR="005D314E" w:rsidRPr="00576C3D" w:rsidRDefault="005D314E" w:rsidP="00576C3D">
      <w:pPr>
        <w:pStyle w:val="Listeavsnitt3"/>
      </w:pPr>
      <w:r w:rsidRPr="00576C3D">
        <w:t>‘Etter at Unionen har inngått en avtale som nevnt i denne artikkelen skal det ikke skilles mellom CBAM-</w:t>
      </w:r>
      <w:proofErr w:type="spellStart"/>
      <w:r w:rsidRPr="00576C3D">
        <w:t>deklaranter</w:t>
      </w:r>
      <w:proofErr w:type="spellEnd"/>
      <w:r w:rsidRPr="00576C3D">
        <w:t xml:space="preserve"> etablert i EU og i EFTA-statene. Unionen skal holde EFTA-statene informert på et tidlig stadium når det gjelder forhandling om og inngåelse av avtaler i henhold til denne artikkelen med henblikk på </w:t>
      </w:r>
      <w:proofErr w:type="gramStart"/>
      <w:r w:rsidRPr="00576C3D">
        <w:t>anvendelse</w:t>
      </w:r>
      <w:proofErr w:type="gramEnd"/>
      <w:r w:rsidRPr="00576C3D">
        <w:t xml:space="preserve"> av artikkel 9.’</w:t>
      </w:r>
    </w:p>
    <w:p w14:paraId="5E2588DB" w14:textId="77777777" w:rsidR="005D314E" w:rsidRPr="00576C3D" w:rsidRDefault="005D314E" w:rsidP="00576C3D">
      <w:pPr>
        <w:pStyle w:val="friliste3"/>
      </w:pPr>
      <w:r w:rsidRPr="00576C3D">
        <w:t>vii)</w:t>
      </w:r>
      <w:r w:rsidRPr="00576C3D">
        <w:tab/>
        <w:t>nytt ledd skal lyde:</w:t>
      </w:r>
    </w:p>
    <w:p w14:paraId="61002D8C" w14:textId="77777777" w:rsidR="005D314E" w:rsidRPr="00576C3D" w:rsidRDefault="005D314E" w:rsidP="00576C3D">
      <w:pPr>
        <w:pStyle w:val="Listeavsnitt3"/>
      </w:pPr>
      <w:r w:rsidRPr="00576C3D">
        <w:t>‘Senest 30 dager før endringer i klassifisering av varer i henhold til forordning (EØF) nr. 2658/87 som er oppført i vedlegg I, trer i kraft i Unionen, skal Unionen underrette EFTA-statenes faste komité om de foreslåtte endringene. EFTA-statene skal innen 45 dager etter å ha mottatt underretningen innføre tilsvarende endringer i nasjonal rett som gjelder for import til EFTA-statene som omfattes av denne forordningens virkeområde.’.</w:t>
      </w:r>
    </w:p>
    <w:p w14:paraId="5EE03497" w14:textId="77777777" w:rsidR="005D314E" w:rsidRPr="00576C3D" w:rsidRDefault="005D314E" w:rsidP="00576C3D">
      <w:pPr>
        <w:pStyle w:val="friliste2"/>
      </w:pPr>
      <w:r w:rsidRPr="00576C3D">
        <w:t>c)</w:t>
      </w:r>
      <w:r w:rsidRPr="00576C3D">
        <w:tab/>
        <w:t>I artikkel 3:</w:t>
      </w:r>
    </w:p>
    <w:p w14:paraId="5A4E71CD" w14:textId="77777777" w:rsidR="005D314E" w:rsidRPr="00576C3D" w:rsidRDefault="005D314E" w:rsidP="00576C3D">
      <w:pPr>
        <w:pStyle w:val="friliste3"/>
      </w:pPr>
      <w:r w:rsidRPr="00576C3D">
        <w:t>i)</w:t>
      </w:r>
      <w:r w:rsidRPr="00576C3D">
        <w:tab/>
        <w:t>i nr. 4 skal ordene ‘eller, når det gjelder EFTA-statene, de tilsvarende prosedyrene i samsvar med EFTA-statenes respektive nasjonale tollovgivning’ tilføyes etter henvisningen til artikkel 201 i forordning (EU) nr. 952/2013,</w:t>
      </w:r>
    </w:p>
    <w:p w14:paraId="0E70A35C" w14:textId="77777777" w:rsidR="005D314E" w:rsidRPr="00576C3D" w:rsidRDefault="005D314E" w:rsidP="00576C3D">
      <w:pPr>
        <w:pStyle w:val="friliste3"/>
      </w:pPr>
      <w:r w:rsidRPr="00576C3D">
        <w:t>ii)</w:t>
      </w:r>
      <w:r w:rsidRPr="00576C3D">
        <w:tab/>
        <w:t>i nr. 6 skal ordene ‘eller, når det gjelder EFTA-statene, EFTA-statenes tollområder som definert i deres respektive nasjonale lovgivning’ tilføyes etter henvisningen til artikkel 4 i forordning (EU) nr. 952/2013,</w:t>
      </w:r>
    </w:p>
    <w:p w14:paraId="1237CAC1" w14:textId="77777777" w:rsidR="005D314E" w:rsidRPr="00576C3D" w:rsidRDefault="005D314E" w:rsidP="00576C3D">
      <w:pPr>
        <w:pStyle w:val="friliste3"/>
      </w:pPr>
      <w:r w:rsidRPr="00576C3D">
        <w:t>iii)</w:t>
      </w:r>
      <w:r w:rsidRPr="00576C3D">
        <w:tab/>
        <w:t>i nr. 7 skal ordene ‘eller EFTA-statenes tollområder’ tilføyes etter ordene ‘Unionens tollområde’,</w:t>
      </w:r>
    </w:p>
    <w:p w14:paraId="016A08C9" w14:textId="77777777" w:rsidR="005D314E" w:rsidRPr="00576C3D" w:rsidRDefault="005D314E" w:rsidP="00576C3D">
      <w:pPr>
        <w:pStyle w:val="friliste3"/>
      </w:pPr>
      <w:r w:rsidRPr="00576C3D">
        <w:t>iv)</w:t>
      </w:r>
      <w:r w:rsidRPr="00576C3D">
        <w:tab/>
        <w:t>i nr. 10 skal ordene ‘eller, når det gjelder EFTA-statene, prisen på selve varene når de selges for eksport til EFTA-statenes tollområde, eksklusive transport- og forsikringskostnader, med mindre de er inkludert i prisen og ikke er angitt separat på fakturaen, og eventuelle andre skatter og avgifter som tollmyndighetene kan fastslå ut fra relevante dokumenter’ tilføyes etter henvisningen til artikkel 1 nr. 48 i delegert forordning (EU) 2015/2446,</w:t>
      </w:r>
    </w:p>
    <w:p w14:paraId="5BDFC31C" w14:textId="77777777" w:rsidR="005D314E" w:rsidRPr="00576C3D" w:rsidRDefault="005D314E" w:rsidP="00576C3D">
      <w:pPr>
        <w:pStyle w:val="friliste3"/>
      </w:pPr>
      <w:r w:rsidRPr="00576C3D">
        <w:t>v)</w:t>
      </w:r>
      <w:r w:rsidRPr="00576C3D">
        <w:tab/>
        <w:t>i nr. 14 skal ordene ‘eller tollmyndighetene i EFTA-statene som har ansvar for å anvende tollregelverket, og alle andre myndigheter i EFTA-statene som i henhold til nasjonal lovgivning er gitt myndighet til å anvende visse tollregler’ tilføyes etter henvisningen til artikkel 5 nr. 1 i forordning (EU) nr. 952/2013,</w:t>
      </w:r>
    </w:p>
    <w:p w14:paraId="324CFCF0" w14:textId="77777777" w:rsidR="005D314E" w:rsidRPr="00576C3D" w:rsidRDefault="005D314E" w:rsidP="00576C3D">
      <w:pPr>
        <w:pStyle w:val="friliste3"/>
      </w:pPr>
      <w:r w:rsidRPr="00576C3D">
        <w:t>vi)</w:t>
      </w:r>
      <w:r w:rsidRPr="00576C3D">
        <w:tab/>
        <w:t>i nr. 15 skal ordene ‘eller, når det gjelder EFTA-statene, tilsvarende regler i samsvar med EFTA-statenes nasjonale lovgivning’ tilføyes etter ordene ‘delegert forordning (EU) 2015/2446’, og ordene ‘eller en tollrepresentant i samsvar med EFTA-statenes nasjonale lovgivning’ skal tilføyes etter henvisningen til artikkel 18 i forordning (EU) nr. 952/2013,</w:t>
      </w:r>
    </w:p>
    <w:p w14:paraId="4E905A7A" w14:textId="77777777" w:rsidR="005D314E" w:rsidRPr="00576C3D" w:rsidRDefault="005D314E" w:rsidP="00576C3D">
      <w:pPr>
        <w:pStyle w:val="friliste3"/>
      </w:pPr>
      <w:r w:rsidRPr="00576C3D">
        <w:t>vii)</w:t>
      </w:r>
      <w:r w:rsidRPr="00576C3D">
        <w:tab/>
        <w:t xml:space="preserve">i nr. 16 skal ordene ‘eller, når det gjelder EFTA-statene, </w:t>
      </w:r>
      <w:proofErr w:type="spellStart"/>
      <w:r w:rsidRPr="00576C3D">
        <w:t>deklaranten</w:t>
      </w:r>
      <w:proofErr w:type="spellEnd"/>
      <w:r w:rsidRPr="00576C3D">
        <w:t xml:space="preserve"> som definert i samsvar med EFTA-statenes respektive nasjonale tollovgivning’ tilføyes etter henvisningen til forordning (EU) nr. 952/2013,</w:t>
      </w:r>
    </w:p>
    <w:p w14:paraId="12EBEB9D" w14:textId="77777777" w:rsidR="005D314E" w:rsidRPr="00576C3D" w:rsidRDefault="005D314E" w:rsidP="00576C3D">
      <w:pPr>
        <w:pStyle w:val="friliste3"/>
      </w:pPr>
      <w:r w:rsidRPr="00576C3D">
        <w:t>viii)</w:t>
      </w:r>
      <w:r w:rsidRPr="00576C3D">
        <w:tab/>
        <w:t>i nr. 18 skal ordene ‘unionsretten eller nasjonal rett’ erstattes med ordene ‘EØS-avtalen eller nasjonal rett’,</w:t>
      </w:r>
    </w:p>
    <w:p w14:paraId="7FBAB215" w14:textId="77777777" w:rsidR="005D314E" w:rsidRPr="00576C3D" w:rsidRDefault="005D314E" w:rsidP="00576C3D">
      <w:pPr>
        <w:pStyle w:val="friliste3"/>
      </w:pPr>
      <w:r w:rsidRPr="00576C3D">
        <w:t>ix)</w:t>
      </w:r>
      <w:r w:rsidRPr="00576C3D">
        <w:tab/>
        <w:t>i nr. 20 skal ordene ‘eller, når det gjelder EFTA-statene, den relevante nasjonale identifikatoren i samsvar med EFTA-statenes nasjonale lovgivning’ tilføyes etter henvisningen til artikkel 9 i forordning (EU) nr. 952/2013.</w:t>
      </w:r>
    </w:p>
    <w:p w14:paraId="384EDDD8" w14:textId="77777777" w:rsidR="005D314E" w:rsidRPr="00576C3D" w:rsidRDefault="005D314E" w:rsidP="00576C3D">
      <w:pPr>
        <w:pStyle w:val="friliste2"/>
      </w:pPr>
      <w:r w:rsidRPr="00576C3D">
        <w:t>d)</w:t>
      </w:r>
      <w:r w:rsidRPr="00576C3D">
        <w:tab/>
        <w:t>I artikkel 4, artikkel 5 nr. 1 og 5 og artikkel 26 nr. 2 og 4 skal ordene ‘eller EFTA-statenes tollområder’ tilføyes etter ordene ‘Unionens tollområde’.</w:t>
      </w:r>
    </w:p>
    <w:p w14:paraId="44A17804" w14:textId="77777777" w:rsidR="005D314E" w:rsidRPr="00576C3D" w:rsidRDefault="005D314E" w:rsidP="00576C3D">
      <w:pPr>
        <w:pStyle w:val="friliste2"/>
      </w:pPr>
      <w:r w:rsidRPr="00576C3D">
        <w:t>e)</w:t>
      </w:r>
      <w:r w:rsidRPr="00576C3D">
        <w:tab/>
        <w:t>I artikkel 5:</w:t>
      </w:r>
    </w:p>
    <w:p w14:paraId="01861569" w14:textId="77777777" w:rsidR="005D314E" w:rsidRPr="00576C3D" w:rsidRDefault="005D314E" w:rsidP="00576C3D">
      <w:pPr>
        <w:pStyle w:val="friliste3"/>
      </w:pPr>
      <w:r w:rsidRPr="00576C3D">
        <w:t>i)</w:t>
      </w:r>
      <w:r w:rsidRPr="00576C3D">
        <w:tab/>
        <w:t>i nr. 1a skal ordene ‘eller en tollrepresentant i samsvar med EFTA-statenes nasjonale lovgivning’ tilføyes etter ordene ‘indirekte tollrepresentant’, og ordene ‘eller, når det gjelder EFTA-statene, EFTA-statenes respektive nasjonale lovgivning’ skal tilføyes etter ordene ‘artikkel 18 i forordning (EU) nr. 952/2013’,</w:t>
      </w:r>
    </w:p>
    <w:p w14:paraId="0FF01C76" w14:textId="77777777" w:rsidR="005D314E" w:rsidRPr="00576C3D" w:rsidRDefault="005D314E" w:rsidP="00576C3D">
      <w:pPr>
        <w:pStyle w:val="friliste3"/>
      </w:pPr>
      <w:r w:rsidRPr="00576C3D">
        <w:t>ii)</w:t>
      </w:r>
      <w:r w:rsidRPr="00576C3D">
        <w:tab/>
        <w:t>i nr. 2 og 2a skal ordene ‘eller en tollrepresentant i samsvar med EFTA-statenes nasjonale lovgivning’ tilføyes etter ordet ‘den indirekte tollrepresentanten’,</w:t>
      </w:r>
    </w:p>
    <w:p w14:paraId="0980A101" w14:textId="77777777" w:rsidR="005D314E" w:rsidRPr="00576C3D" w:rsidRDefault="005D314E" w:rsidP="00576C3D">
      <w:pPr>
        <w:pStyle w:val="friliste3"/>
      </w:pPr>
      <w:r w:rsidRPr="00576C3D">
        <w:t>iii)</w:t>
      </w:r>
      <w:r w:rsidRPr="00576C3D">
        <w:tab/>
        <w:t>i nr. 2 skal nytt ledd lyde:</w:t>
      </w:r>
    </w:p>
    <w:p w14:paraId="26AD62F1" w14:textId="77777777" w:rsidR="005D314E" w:rsidRPr="00576C3D" w:rsidRDefault="005D314E" w:rsidP="00576C3D">
      <w:pPr>
        <w:pStyle w:val="Listeavsnitt3"/>
      </w:pPr>
      <w:r w:rsidRPr="00576C3D">
        <w:t>‘CBAM-</w:t>
      </w:r>
      <w:proofErr w:type="spellStart"/>
      <w:r w:rsidRPr="00576C3D">
        <w:t>deklaranter</w:t>
      </w:r>
      <w:proofErr w:type="spellEnd"/>
      <w:r w:rsidRPr="00576C3D">
        <w:t xml:space="preserve"> etablert i EFTA-statene skal registrere et EORI-nummer før de importerer varer oppført i vedlegg I til Unionens tollområde i følgende tilfeller:</w:t>
      </w:r>
    </w:p>
    <w:p w14:paraId="64B982E4" w14:textId="77777777" w:rsidR="005D314E" w:rsidRPr="00576C3D" w:rsidRDefault="005D314E" w:rsidP="00576C3D">
      <w:pPr>
        <w:pStyle w:val="friliste4"/>
      </w:pPr>
      <w:r w:rsidRPr="00576C3D">
        <w:t>a)</w:t>
      </w:r>
      <w:r w:rsidRPr="00576C3D">
        <w:tab/>
        <w:t>tolldeklarasjonen inngis i importørens navn, eller</w:t>
      </w:r>
    </w:p>
    <w:p w14:paraId="3BDF4406" w14:textId="77777777" w:rsidR="005D314E" w:rsidRPr="00576C3D" w:rsidRDefault="005D314E" w:rsidP="00576C3D">
      <w:pPr>
        <w:pStyle w:val="friliste4"/>
      </w:pPr>
      <w:r w:rsidRPr="00576C3D">
        <w:t>b)</w:t>
      </w:r>
      <w:r w:rsidRPr="00576C3D">
        <w:tab/>
        <w:t>tolldeklarasjonen inngis av en indirekte tollrepresentant som bruker importørens CBAM-autorisasjonsnummer.’,</w:t>
      </w:r>
    </w:p>
    <w:p w14:paraId="7F417E94" w14:textId="77777777" w:rsidR="005D314E" w:rsidRPr="00576C3D" w:rsidRDefault="005D314E" w:rsidP="00576C3D">
      <w:pPr>
        <w:pStyle w:val="friliste3"/>
      </w:pPr>
      <w:r w:rsidRPr="00576C3D">
        <w:t>iv)</w:t>
      </w:r>
      <w:r w:rsidRPr="00576C3D">
        <w:tab/>
        <w:t>i nr. 5 tilføyes følgende:</w:t>
      </w:r>
    </w:p>
    <w:p w14:paraId="0EA20342" w14:textId="77777777" w:rsidR="005D314E" w:rsidRPr="00576C3D" w:rsidRDefault="005D314E" w:rsidP="00576C3D">
      <w:pPr>
        <w:pStyle w:val="friliste4"/>
      </w:pPr>
      <w:r w:rsidRPr="00576C3D">
        <w:t>‘a)</w:t>
      </w:r>
      <w:r w:rsidRPr="00576C3D">
        <w:tab/>
        <w:t>Enhver identifikator som brukes i en annen avtalepart.’,</w:t>
      </w:r>
    </w:p>
    <w:p w14:paraId="7863A874" w14:textId="77777777" w:rsidR="005D314E" w:rsidRPr="00576C3D" w:rsidRDefault="005D314E" w:rsidP="00576C3D">
      <w:pPr>
        <w:pStyle w:val="friliste4"/>
      </w:pPr>
      <w:r w:rsidRPr="00576C3D">
        <w:t>b)</w:t>
      </w:r>
      <w:r w:rsidRPr="00576C3D">
        <w:tab/>
        <w:t>i nr. 7 skal nytt ledd lyde:</w:t>
      </w:r>
    </w:p>
    <w:p w14:paraId="22427429" w14:textId="77777777" w:rsidR="005D314E" w:rsidRPr="00576C3D" w:rsidRDefault="005D314E" w:rsidP="00576C3D">
      <w:pPr>
        <w:pStyle w:val="Listeavsnitt3"/>
      </w:pPr>
      <w:r w:rsidRPr="00576C3D">
        <w:t>‘Økonomiske aktører som har blitt tildelt en identifikator som brukes i en annen avtalepart, må underrette den relevante vedkommende myndigheten om dette.’.</w:t>
      </w:r>
    </w:p>
    <w:p w14:paraId="6A6F12D9" w14:textId="77777777" w:rsidR="005D314E" w:rsidRPr="00576C3D" w:rsidRDefault="005D314E" w:rsidP="00576C3D">
      <w:pPr>
        <w:pStyle w:val="friliste2"/>
      </w:pPr>
      <w:r w:rsidRPr="00576C3D">
        <w:t>f)</w:t>
      </w:r>
      <w:r w:rsidRPr="00576C3D">
        <w:tab/>
        <w:t>I artikkel 5 nr. 5 skal ordene ‘eller, når det gjelder EFTA-statene, relevant identifikator i samsvar med EFTA-statenes nasjonale lovgivning’ tilføyes etter ordet ‘EORI-nummer’, i artikkel 14 nr. 2 bokstav b) og artikkel 17 nr. 4 skal ordene ‘eller, når det gjelder EFTA-statene, den relevante identifikatoren i samsvar med EFTA-statenes nasjonale lovgivning’ tilføyes etter ordet ‘EORI-nummeret’, i artikkel 17 nr. 2 skal ordene ‘eller, når det gjelder EFTA-statene, en relevant identifikator i samsvar med EFTA-statenes nasjonale lovgivning’ tilføyes etter ordet ‘EORI-nummer’, og i artikkel 25 nr. 2 skal ordene ‘eller, når det gjelder EFTA-statene, relevante identifikator i samsvar med EFTA-statenes nasjonale lovgivning’ tilføyes etter ordet ‘EORI-nummer’.</w:t>
      </w:r>
    </w:p>
    <w:p w14:paraId="4232F363" w14:textId="77777777" w:rsidR="005D314E" w:rsidRPr="00576C3D" w:rsidRDefault="005D314E" w:rsidP="00576C3D">
      <w:pPr>
        <w:pStyle w:val="friliste2"/>
      </w:pPr>
      <w:r w:rsidRPr="00576C3D">
        <w:t>g)</w:t>
      </w:r>
      <w:r w:rsidRPr="00576C3D">
        <w:tab/>
        <w:t>I artikkel 6:</w:t>
      </w:r>
    </w:p>
    <w:p w14:paraId="37AFEDAA" w14:textId="77777777" w:rsidR="005D314E" w:rsidRPr="00576C3D" w:rsidRDefault="005D314E" w:rsidP="00576C3D">
      <w:pPr>
        <w:pStyle w:val="friliste3"/>
      </w:pPr>
      <w:r w:rsidRPr="00576C3D">
        <w:t>i)</w:t>
      </w:r>
      <w:r w:rsidRPr="00576C3D">
        <w:tab/>
        <w:t>i nr. 3 skal ordene ‘eller, når det gjelder EFTA-statene, de tilsvarende prosedyrene i samsvar med EFTA-statenes respektive nasjonale lovgivning’ tilføyes etter henvisningen til artikkel 256 i forordning (EU) nr. 952/2013,</w:t>
      </w:r>
    </w:p>
    <w:p w14:paraId="733D5E48" w14:textId="77777777" w:rsidR="005D314E" w:rsidRPr="00576C3D" w:rsidRDefault="005D314E" w:rsidP="00576C3D">
      <w:pPr>
        <w:pStyle w:val="friliste3"/>
      </w:pPr>
      <w:r w:rsidRPr="00576C3D">
        <w:t>ii)</w:t>
      </w:r>
      <w:r w:rsidRPr="00576C3D">
        <w:tab/>
        <w:t>i nr. 3 skal ordene ‘eller, når det gjelder EFTA-statene, de tilsvarende reglene i samsvar med EFTA-statenes respektive nasjonale tollovgivning’ tilføyes etter henvisningen til artikkel 205 i forordning (EU) nr. 952/2013,</w:t>
      </w:r>
    </w:p>
    <w:p w14:paraId="1456F3F5" w14:textId="77777777" w:rsidR="005D314E" w:rsidRPr="00576C3D" w:rsidRDefault="005D314E" w:rsidP="00576C3D">
      <w:pPr>
        <w:pStyle w:val="friliste3"/>
      </w:pPr>
      <w:r w:rsidRPr="00576C3D">
        <w:t>iii)</w:t>
      </w:r>
      <w:r w:rsidRPr="00576C3D">
        <w:tab/>
        <w:t>i nr. 4 skal ordene ‘eller, når det gjelder EFTA-statene, de tilsvarende reglene i samsvar med EFTA-statenes respektive nasjonale lovgivning’ tilføyes etter henvisningen til artikkel 259 i forordning (EU) nr. 952/2013,</w:t>
      </w:r>
    </w:p>
    <w:p w14:paraId="66D9C4F5" w14:textId="77777777" w:rsidR="005D314E" w:rsidRPr="00576C3D" w:rsidRDefault="005D314E" w:rsidP="00576C3D">
      <w:pPr>
        <w:pStyle w:val="friliste3"/>
      </w:pPr>
      <w:r w:rsidRPr="00576C3D">
        <w:t>iv)</w:t>
      </w:r>
      <w:r w:rsidRPr="00576C3D">
        <w:tab/>
        <w:t>i nr. 4 skal ordene ‘eller EFTA-statenes tollområder’ tilføyes etter ordene ‘Unionens tollområde’,</w:t>
      </w:r>
    </w:p>
    <w:p w14:paraId="4B65EBBB" w14:textId="77777777" w:rsidR="005D314E" w:rsidRPr="00576C3D" w:rsidRDefault="005D314E" w:rsidP="00576C3D">
      <w:pPr>
        <w:pStyle w:val="friliste3"/>
      </w:pPr>
      <w:r w:rsidRPr="00576C3D">
        <w:t>v)</w:t>
      </w:r>
      <w:r w:rsidRPr="00576C3D">
        <w:tab/>
        <w:t>i nr. 5 skal ordene ‘eller, når det gjelder EFTA-statene, de tilsvarende reglene i samsvar med EFTA-statenes respektive nasjonale lovgivning’ tilføyes etter henvisningen til artikkel 203 i forordning (EU) nr. 952/2013.</w:t>
      </w:r>
    </w:p>
    <w:p w14:paraId="20114106" w14:textId="77777777" w:rsidR="005D314E" w:rsidRPr="00576C3D" w:rsidRDefault="005D314E" w:rsidP="00576C3D">
      <w:pPr>
        <w:pStyle w:val="friliste2"/>
      </w:pPr>
      <w:r w:rsidRPr="00576C3D">
        <w:t>h)</w:t>
      </w:r>
      <w:r w:rsidRPr="00576C3D">
        <w:tab/>
        <w:t>I artikkel 12 skal nytt punktum lyde:</w:t>
      </w:r>
    </w:p>
    <w:p w14:paraId="50F83FB9" w14:textId="77777777" w:rsidR="005D314E" w:rsidRPr="00576C3D" w:rsidRDefault="005D314E" w:rsidP="00576C3D">
      <w:pPr>
        <w:pStyle w:val="Listeavsnitt2"/>
      </w:pPr>
      <w:r w:rsidRPr="00576C3D">
        <w:t xml:space="preserve">‘Videre skal Kommisjonen bistå og involvere </w:t>
      </w:r>
      <w:proofErr w:type="spellStart"/>
      <w:r w:rsidRPr="00576C3D">
        <w:t>EFTAs</w:t>
      </w:r>
      <w:proofErr w:type="spellEnd"/>
      <w:r w:rsidRPr="00576C3D">
        <w:t xml:space="preserve"> overvåkingsorgan og vedkommende myndigheter i EFTA-statene der det er relevant, for å sikre samme nivå av samarbeid og fremme tilstrekkelig informasjonsutveksling mellom vedkommende myndigheter i EFTA-statene og EU-medlemsstatene, samt mellom vedkommende myndigheter i EFTA-statene og </w:t>
      </w:r>
      <w:proofErr w:type="spellStart"/>
      <w:r w:rsidRPr="00576C3D">
        <w:t>EFTAs</w:t>
      </w:r>
      <w:proofErr w:type="spellEnd"/>
      <w:r w:rsidRPr="00576C3D">
        <w:t xml:space="preserve"> overvåkingsorgan.’</w:t>
      </w:r>
    </w:p>
    <w:p w14:paraId="5EB16D0E" w14:textId="77777777" w:rsidR="005D314E" w:rsidRPr="00576C3D" w:rsidRDefault="005D314E" w:rsidP="00576C3D">
      <w:pPr>
        <w:pStyle w:val="friliste2"/>
      </w:pPr>
      <w:r w:rsidRPr="00576C3D">
        <w:t>i)</w:t>
      </w:r>
      <w:r w:rsidRPr="00576C3D">
        <w:tab/>
        <w:t>I artikkel 13:</w:t>
      </w:r>
    </w:p>
    <w:p w14:paraId="57B18B8D" w14:textId="77777777" w:rsidR="005D314E" w:rsidRPr="00576C3D" w:rsidRDefault="005D314E" w:rsidP="00576C3D">
      <w:pPr>
        <w:pStyle w:val="friliste3"/>
      </w:pPr>
      <w:r w:rsidRPr="00576C3D">
        <w:t>i)</w:t>
      </w:r>
      <w:r w:rsidRPr="00576C3D">
        <w:tab/>
        <w:t xml:space="preserve">i nr. 1 skal ordene ‘eller </w:t>
      </w:r>
      <w:proofErr w:type="spellStart"/>
      <w:r w:rsidRPr="00576C3D">
        <w:t>EFTAs</w:t>
      </w:r>
      <w:proofErr w:type="spellEnd"/>
      <w:r w:rsidRPr="00576C3D">
        <w:t xml:space="preserve"> overvåkingsorgan’ tilføyes etter ordet ‘Kommisjonen’,</w:t>
      </w:r>
    </w:p>
    <w:p w14:paraId="5143756A" w14:textId="77777777" w:rsidR="005D314E" w:rsidRPr="00576C3D" w:rsidRDefault="005D314E" w:rsidP="00576C3D">
      <w:pPr>
        <w:pStyle w:val="friliste3"/>
      </w:pPr>
      <w:r w:rsidRPr="00576C3D">
        <w:t>ii)</w:t>
      </w:r>
      <w:r w:rsidRPr="00576C3D">
        <w:tab/>
        <w:t>i nr. 2:</w:t>
      </w:r>
    </w:p>
    <w:p w14:paraId="23FC5181" w14:textId="77777777" w:rsidR="005D314E" w:rsidRPr="00576C3D" w:rsidRDefault="005D314E" w:rsidP="00576C3D">
      <w:pPr>
        <w:pStyle w:val="friliste4"/>
      </w:pPr>
      <w:r w:rsidRPr="00576C3D">
        <w:t>a)</w:t>
      </w:r>
      <w:r w:rsidRPr="00576C3D">
        <w:tab/>
        <w:t xml:space="preserve">ordene ‘og </w:t>
      </w:r>
      <w:proofErr w:type="spellStart"/>
      <w:r w:rsidRPr="00576C3D">
        <w:t>EFTAs</w:t>
      </w:r>
      <w:proofErr w:type="spellEnd"/>
      <w:r w:rsidRPr="00576C3D">
        <w:t xml:space="preserve"> overvåkingsorgan’ skal tilføyes etter ordet </w:t>
      </w:r>
      <w:proofErr w:type="gramStart"/>
      <w:r w:rsidRPr="00576C3D">
        <w:t>‘ Kommisjonen</w:t>
      </w:r>
      <w:proofErr w:type="gramEnd"/>
      <w:r w:rsidRPr="00576C3D">
        <w:t>’,</w:t>
      </w:r>
    </w:p>
    <w:p w14:paraId="21CF8E38" w14:textId="77777777" w:rsidR="005D314E" w:rsidRPr="00576C3D" w:rsidRDefault="005D314E" w:rsidP="00576C3D">
      <w:pPr>
        <w:pStyle w:val="friliste4"/>
      </w:pPr>
      <w:r w:rsidRPr="00576C3D">
        <w:t>b)</w:t>
      </w:r>
      <w:r w:rsidRPr="00576C3D">
        <w:tab/>
        <w:t>nytt ledd skal lyde:</w:t>
      </w:r>
    </w:p>
    <w:p w14:paraId="328FB158" w14:textId="77777777" w:rsidR="005D314E" w:rsidRPr="00576C3D" w:rsidRDefault="005D314E" w:rsidP="00576C3D">
      <w:pPr>
        <w:pStyle w:val="Listeavsnitt4"/>
      </w:pPr>
      <w:r w:rsidRPr="00576C3D">
        <w:t xml:space="preserve">‘Når det gjelder EFTA-statene, får deling av opplysninger med Den europeiske påtalemyndighet ikke </w:t>
      </w:r>
      <w:proofErr w:type="gramStart"/>
      <w:r w:rsidRPr="00576C3D">
        <w:t>anvendelse</w:t>
      </w:r>
      <w:proofErr w:type="gramEnd"/>
      <w:r w:rsidRPr="00576C3D">
        <w:t>.’,</w:t>
      </w:r>
    </w:p>
    <w:p w14:paraId="4D933CE2" w14:textId="77777777" w:rsidR="005D314E" w:rsidRPr="00576C3D" w:rsidRDefault="005D314E" w:rsidP="00576C3D">
      <w:pPr>
        <w:pStyle w:val="friliste3"/>
      </w:pPr>
      <w:r w:rsidRPr="00576C3D">
        <w:t>iii)</w:t>
      </w:r>
      <w:r w:rsidRPr="00576C3D">
        <w:tab/>
        <w:t>ordene ‘unionsretten eller nasjonal rett’ skal erstattes med ordene ‘EØS-avtalen eller nasjonal rett’.</w:t>
      </w:r>
    </w:p>
    <w:p w14:paraId="2493819F" w14:textId="77777777" w:rsidR="005D314E" w:rsidRPr="00576C3D" w:rsidRDefault="005D314E" w:rsidP="00576C3D">
      <w:pPr>
        <w:pStyle w:val="friliste2"/>
      </w:pPr>
      <w:r w:rsidRPr="00576C3D">
        <w:t>j)</w:t>
      </w:r>
      <w:r w:rsidRPr="00576C3D">
        <w:tab/>
        <w:t xml:space="preserve">I artikkel 14 nr. 1 skal ordene ‘og, der det er relevant, </w:t>
      </w:r>
      <w:proofErr w:type="spellStart"/>
      <w:r w:rsidRPr="00576C3D">
        <w:t>EFTAs</w:t>
      </w:r>
      <w:proofErr w:type="spellEnd"/>
      <w:r w:rsidRPr="00576C3D">
        <w:t xml:space="preserve"> overvåkingsorgan’ tilføyes etter ordene ‘vedkommende myndigheter’.</w:t>
      </w:r>
    </w:p>
    <w:p w14:paraId="49E06A3B" w14:textId="77777777" w:rsidR="005D314E" w:rsidRPr="00576C3D" w:rsidRDefault="005D314E" w:rsidP="00576C3D">
      <w:pPr>
        <w:pStyle w:val="friliste2"/>
      </w:pPr>
      <w:r w:rsidRPr="00576C3D">
        <w:t>k)</w:t>
      </w:r>
      <w:r w:rsidRPr="00576C3D">
        <w:tab/>
        <w:t>I artikkel 15 nr. 2 skal ordene ‘og, når det gjelder CBAM-</w:t>
      </w:r>
      <w:proofErr w:type="spellStart"/>
      <w:r w:rsidRPr="00576C3D">
        <w:t>deklaranter</w:t>
      </w:r>
      <w:proofErr w:type="spellEnd"/>
      <w:r w:rsidRPr="00576C3D">
        <w:t xml:space="preserve"> etablert i EFTA-statene, </w:t>
      </w:r>
      <w:proofErr w:type="spellStart"/>
      <w:r w:rsidRPr="00576C3D">
        <w:t>EFTAs</w:t>
      </w:r>
      <w:proofErr w:type="spellEnd"/>
      <w:r w:rsidRPr="00576C3D">
        <w:t xml:space="preserve"> overvåkingsorgan’ tilføyes etter ordene ‘berørte vedkommende myndigheter’.</w:t>
      </w:r>
    </w:p>
    <w:p w14:paraId="41583F7C" w14:textId="77777777" w:rsidR="005D314E" w:rsidRPr="00576C3D" w:rsidRDefault="005D314E" w:rsidP="00576C3D">
      <w:pPr>
        <w:pStyle w:val="friliste2"/>
      </w:pPr>
      <w:r w:rsidRPr="00576C3D">
        <w:t>l)</w:t>
      </w:r>
      <w:r w:rsidRPr="00576C3D">
        <w:tab/>
        <w:t>I artikkel 17 nr. 4 bokstav b) skal følgende ord tilføyes: ‘og, om relevant, enhver bedriftsidentifikator som brukes i en annen avtalepart.’.</w:t>
      </w:r>
    </w:p>
    <w:p w14:paraId="71886105" w14:textId="77777777" w:rsidR="005D314E" w:rsidRPr="00576C3D" w:rsidRDefault="005D314E" w:rsidP="00576C3D">
      <w:pPr>
        <w:pStyle w:val="friliste2"/>
      </w:pPr>
      <w:r w:rsidRPr="00576C3D">
        <w:t>m)</w:t>
      </w:r>
      <w:r w:rsidRPr="00576C3D">
        <w:tab/>
        <w:t>I artikkel 19:</w:t>
      </w:r>
    </w:p>
    <w:p w14:paraId="17FEE904" w14:textId="77777777" w:rsidR="005D314E" w:rsidRPr="00576C3D" w:rsidRDefault="005D314E" w:rsidP="00576C3D">
      <w:pPr>
        <w:pStyle w:val="friliste3"/>
      </w:pPr>
      <w:r w:rsidRPr="00576C3D">
        <w:t>i)</w:t>
      </w:r>
      <w:r w:rsidRPr="00576C3D">
        <w:tab/>
        <w:t>i nr. 1 skal nytt ledd lyde:</w:t>
      </w:r>
    </w:p>
    <w:p w14:paraId="293DFD05" w14:textId="77777777" w:rsidR="005D314E" w:rsidRPr="00576C3D" w:rsidRDefault="005D314E" w:rsidP="00576C3D">
      <w:pPr>
        <w:pStyle w:val="Listeavsnitt3"/>
      </w:pPr>
      <w:r w:rsidRPr="00576C3D">
        <w:t>‘Når Kommisjonen utfører gjennomgangsoppgaver i forbindelse med CBAM-</w:t>
      </w:r>
      <w:proofErr w:type="spellStart"/>
      <w:r w:rsidRPr="00576C3D">
        <w:t>deklaranter</w:t>
      </w:r>
      <w:proofErr w:type="spellEnd"/>
      <w:r w:rsidRPr="00576C3D">
        <w:t xml:space="preserve"> etablert i EFTA-statene, skal den holde </w:t>
      </w:r>
      <w:proofErr w:type="spellStart"/>
      <w:r w:rsidRPr="00576C3D">
        <w:t>EFTAs</w:t>
      </w:r>
      <w:proofErr w:type="spellEnd"/>
      <w:r w:rsidRPr="00576C3D">
        <w:t xml:space="preserve"> overvåkingsorgan underrettet om eventuelle uregelmessigheter knyttet til CBAM-</w:t>
      </w:r>
      <w:proofErr w:type="spellStart"/>
      <w:r w:rsidRPr="00576C3D">
        <w:t>deklaranter</w:t>
      </w:r>
      <w:proofErr w:type="spellEnd"/>
      <w:r w:rsidRPr="00576C3D">
        <w:t xml:space="preserve"> etablert i EFTA-statene. Videre kan </w:t>
      </w:r>
      <w:proofErr w:type="spellStart"/>
      <w:r w:rsidRPr="00576C3D">
        <w:t>EFTAs</w:t>
      </w:r>
      <w:proofErr w:type="spellEnd"/>
      <w:r w:rsidRPr="00576C3D">
        <w:t xml:space="preserve"> overvåkingsorgan gjennomgå CBAM-erklæringer knyttet til CBAM-</w:t>
      </w:r>
      <w:proofErr w:type="spellStart"/>
      <w:r w:rsidRPr="00576C3D">
        <w:t>deklaranter</w:t>
      </w:r>
      <w:proofErr w:type="spellEnd"/>
      <w:r w:rsidRPr="00576C3D">
        <w:t xml:space="preserve"> etablert i EFTA-statene.’,</w:t>
      </w:r>
    </w:p>
    <w:p w14:paraId="4A2075FE" w14:textId="77777777" w:rsidR="005D314E" w:rsidRPr="00576C3D" w:rsidRDefault="005D314E" w:rsidP="00576C3D">
      <w:pPr>
        <w:pStyle w:val="friliste3"/>
      </w:pPr>
      <w:r w:rsidRPr="00576C3D">
        <w:t>ii)</w:t>
      </w:r>
      <w:r w:rsidRPr="00576C3D">
        <w:tab/>
        <w:t>i nr. 2 andre ledd skal nytt punktum lyde:</w:t>
      </w:r>
    </w:p>
    <w:p w14:paraId="5A5B6E8F" w14:textId="77777777" w:rsidR="005D314E" w:rsidRPr="00576C3D" w:rsidRDefault="005D314E" w:rsidP="00576C3D">
      <w:pPr>
        <w:pStyle w:val="Listeavsnitt3"/>
      </w:pPr>
      <w:r w:rsidRPr="00576C3D">
        <w:t>‘Tilsyn hos CBAM-</w:t>
      </w:r>
      <w:proofErr w:type="spellStart"/>
      <w:r w:rsidRPr="00576C3D">
        <w:t>deklaranter</w:t>
      </w:r>
      <w:proofErr w:type="spellEnd"/>
      <w:r w:rsidRPr="00576C3D">
        <w:t xml:space="preserve"> etablert i EFTA-statene skal utføres av </w:t>
      </w:r>
      <w:proofErr w:type="spellStart"/>
      <w:r w:rsidRPr="00576C3D">
        <w:t>EFTAs</w:t>
      </w:r>
      <w:proofErr w:type="spellEnd"/>
      <w:r w:rsidRPr="00576C3D">
        <w:t xml:space="preserve"> overvåkingsorgan. Tjenestemenn og andre personer med fullmakt fra Kommisjonen kan inviteres til å delta som observatører.’.</w:t>
      </w:r>
    </w:p>
    <w:p w14:paraId="00AD4343" w14:textId="77777777" w:rsidR="005D314E" w:rsidRPr="00576C3D" w:rsidRDefault="005D314E" w:rsidP="00576C3D">
      <w:pPr>
        <w:pStyle w:val="friliste2"/>
      </w:pPr>
      <w:r w:rsidRPr="00576C3D">
        <w:t>n)</w:t>
      </w:r>
      <w:r w:rsidRPr="00576C3D">
        <w:tab/>
        <w:t>I artikkel 20 nr. 2 skal nytt ledd lyde:</w:t>
      </w:r>
    </w:p>
    <w:p w14:paraId="11FA169E" w14:textId="77777777" w:rsidR="005D314E" w:rsidRPr="00576C3D" w:rsidRDefault="005D314E" w:rsidP="00576C3D">
      <w:pPr>
        <w:pStyle w:val="Listeavsnitt2"/>
      </w:pPr>
      <w:r w:rsidRPr="00576C3D">
        <w:t>‘Forutsatt at EFTA-statene og Kommisjonen på egne vegne og på vegne av medlemsstatene har inngått en avtale der EFTA-statene slutter seg til avtalen om felles innkjøp for anskaffelsen av en felles sentral plattform, skal EFTA-statene delta i den felles handlingen i henhold til denne bestemmelsen.’</w:t>
      </w:r>
    </w:p>
    <w:p w14:paraId="4242647F" w14:textId="77777777" w:rsidR="005D314E" w:rsidRPr="00576C3D" w:rsidRDefault="005D314E" w:rsidP="00576C3D">
      <w:pPr>
        <w:pStyle w:val="friliste2"/>
      </w:pPr>
      <w:r w:rsidRPr="00576C3D">
        <w:t>o)</w:t>
      </w:r>
      <w:r w:rsidRPr="00576C3D">
        <w:tab/>
        <w:t>I artikkel 25:</w:t>
      </w:r>
    </w:p>
    <w:p w14:paraId="08162ADA" w14:textId="77777777" w:rsidR="005D314E" w:rsidRPr="00576C3D" w:rsidRDefault="005D314E" w:rsidP="00576C3D">
      <w:pPr>
        <w:pStyle w:val="friliste3"/>
      </w:pPr>
      <w:r w:rsidRPr="00576C3D">
        <w:t>i)</w:t>
      </w:r>
      <w:r w:rsidRPr="00576C3D">
        <w:tab/>
        <w:t>i nr. 1 skal nytt punktum lyde: ‘For dette formålet og i påvente av EFTA-statenes tilknytning til EU CSW-CERTEX, skal Kommisjonen sikre at EFTA-statenes tollmyndigheter kan laste ned de nødvendige opplysningene fra CBAM-registeret.’,</w:t>
      </w:r>
    </w:p>
    <w:p w14:paraId="5576ACBC" w14:textId="77777777" w:rsidR="005D314E" w:rsidRPr="00576C3D" w:rsidRDefault="005D314E" w:rsidP="00576C3D">
      <w:pPr>
        <w:pStyle w:val="friliste3"/>
      </w:pPr>
      <w:r w:rsidRPr="00576C3D">
        <w:t>ii)</w:t>
      </w:r>
      <w:r w:rsidRPr="00576C3D">
        <w:tab/>
        <w:t>i nr. 2:</w:t>
      </w:r>
    </w:p>
    <w:p w14:paraId="44CD8356" w14:textId="77777777" w:rsidR="005D314E" w:rsidRPr="00576C3D" w:rsidRDefault="005D314E" w:rsidP="00576C3D">
      <w:pPr>
        <w:pStyle w:val="friliste4"/>
      </w:pPr>
      <w:r w:rsidRPr="00576C3D">
        <w:t>a)</w:t>
      </w:r>
      <w:r w:rsidRPr="00576C3D">
        <w:tab/>
        <w:t>ordene ‘eller, når det gjelder EFTA-statene, periodisk og, dersom det er praktisk mulig, automatisk’ skal tilføyes etter ordet ‘automatisk’,</w:t>
      </w:r>
    </w:p>
    <w:p w14:paraId="1B344852" w14:textId="77777777" w:rsidR="005D314E" w:rsidRPr="00576C3D" w:rsidRDefault="005D314E" w:rsidP="00576C3D">
      <w:pPr>
        <w:pStyle w:val="friliste4"/>
      </w:pPr>
      <w:r w:rsidRPr="00576C3D">
        <w:t>b)</w:t>
      </w:r>
      <w:r w:rsidRPr="00576C3D">
        <w:tab/>
        <w:t>ordene ‘, eller, når det gjelder EFTA-statene, den relevante mekanismen som Kommisjonen har gjort tilgjengelig’ skal tilføyes etter ordene ‘forordning (EU) nr. 952/2013’,</w:t>
      </w:r>
    </w:p>
    <w:p w14:paraId="3FC72F9B" w14:textId="77777777" w:rsidR="005D314E" w:rsidRPr="00576C3D" w:rsidRDefault="005D314E" w:rsidP="00576C3D">
      <w:pPr>
        <w:pStyle w:val="friliste4"/>
      </w:pPr>
      <w:r w:rsidRPr="00576C3D">
        <w:t>c)</w:t>
      </w:r>
      <w:r w:rsidRPr="00576C3D">
        <w:tab/>
        <w:t>ordene ‘eller, når det gjelder EFTA-statene, den tilsvarende klassifiseringen i samsvar med EFTA-statenes nasjonale lovgivning’ skal tilføyes etter ordene ‘</w:t>
      </w:r>
      <w:proofErr w:type="spellStart"/>
      <w:r w:rsidRPr="00576C3D">
        <w:t>åttesifrede</w:t>
      </w:r>
      <w:proofErr w:type="spellEnd"/>
      <w:r w:rsidRPr="00576C3D">
        <w:t xml:space="preserve"> KN-kode’,</w:t>
      </w:r>
    </w:p>
    <w:p w14:paraId="577A2187" w14:textId="77777777" w:rsidR="005D314E" w:rsidRPr="00576C3D" w:rsidRDefault="005D314E" w:rsidP="00576C3D">
      <w:pPr>
        <w:pStyle w:val="friliste3"/>
      </w:pPr>
      <w:r w:rsidRPr="00576C3D">
        <w:t>iii)</w:t>
      </w:r>
      <w:r w:rsidRPr="00576C3D">
        <w:tab/>
        <w:t>i nr. 2 skal nytt ledd lyde:</w:t>
      </w:r>
    </w:p>
    <w:p w14:paraId="0365182E" w14:textId="77777777" w:rsidR="005D314E" w:rsidRPr="00576C3D" w:rsidRDefault="005D314E" w:rsidP="00576C3D">
      <w:pPr>
        <w:pStyle w:val="Listeavsnitt3"/>
      </w:pPr>
      <w:r w:rsidRPr="00576C3D">
        <w:t>‘Avtalepartene skal regelmessig utveksle opplysninger om identiteten til sine autoriserte CBAM-</w:t>
      </w:r>
      <w:proofErr w:type="spellStart"/>
      <w:r w:rsidRPr="00576C3D">
        <w:t>deklaranter</w:t>
      </w:r>
      <w:proofErr w:type="spellEnd"/>
      <w:r w:rsidRPr="00576C3D">
        <w:t xml:space="preserve"> og importører med henblikk på </w:t>
      </w:r>
      <w:proofErr w:type="gramStart"/>
      <w:r w:rsidRPr="00576C3D">
        <w:t>anvendelse</w:t>
      </w:r>
      <w:proofErr w:type="gramEnd"/>
      <w:r w:rsidRPr="00576C3D">
        <w:t xml:space="preserve"> av denne forordningen.’,</w:t>
      </w:r>
    </w:p>
    <w:p w14:paraId="585D51E9" w14:textId="77777777" w:rsidR="005D314E" w:rsidRPr="00576C3D" w:rsidRDefault="005D314E" w:rsidP="00576C3D">
      <w:pPr>
        <w:pStyle w:val="friliste3"/>
      </w:pPr>
      <w:r w:rsidRPr="00576C3D">
        <w:t>iv)</w:t>
      </w:r>
      <w:r w:rsidRPr="00576C3D">
        <w:tab/>
        <w:t>i nr. 4 skal ordene ‘eller, når det gjelder EFTA-statene, de tilsvarende kravene i samsvar med EFTA-statenes respektive nasjonale lovgivning’ tilføyes etter henvisningen til artikkel 12 nr. 1 i forordning (EU) nr. 952/2013,</w:t>
      </w:r>
    </w:p>
    <w:p w14:paraId="0F1C3023" w14:textId="77777777" w:rsidR="005D314E" w:rsidRPr="00576C3D" w:rsidRDefault="005D314E" w:rsidP="00576C3D">
      <w:pPr>
        <w:pStyle w:val="friliste3"/>
      </w:pPr>
      <w:r w:rsidRPr="00576C3D">
        <w:t>v)</w:t>
      </w:r>
      <w:r w:rsidRPr="00576C3D">
        <w:tab/>
        <w:t>i nr. 5 skal ordene ‘Forordning (EF) nr. 515/97’ erstattes med ordene ‘Protokoll 11 til EØS-avtalen’.</w:t>
      </w:r>
    </w:p>
    <w:p w14:paraId="476F760C" w14:textId="77777777" w:rsidR="005D314E" w:rsidRPr="00576C3D" w:rsidRDefault="005D314E" w:rsidP="00576C3D">
      <w:pPr>
        <w:pStyle w:val="friliste2"/>
      </w:pPr>
      <w:r w:rsidRPr="00576C3D">
        <w:t>p)</w:t>
      </w:r>
      <w:r w:rsidRPr="00576C3D">
        <w:tab/>
        <w:t>I artikkel 25a nr. 1 skal nytt ledd lyde:</w:t>
      </w:r>
    </w:p>
    <w:p w14:paraId="1A108134" w14:textId="77777777" w:rsidR="005D314E" w:rsidRPr="00576C3D" w:rsidRDefault="005D314E" w:rsidP="00576C3D">
      <w:pPr>
        <w:pStyle w:val="Listeavsnitt2"/>
      </w:pPr>
      <w:r w:rsidRPr="00576C3D">
        <w:t xml:space="preserve">‘Når Kommisjonen utfører overvåkingsoppgaver i forbindelse med importører etablert i EFTA-statene i henhold til denne artikkelen, skal den holde </w:t>
      </w:r>
      <w:proofErr w:type="spellStart"/>
      <w:r w:rsidRPr="00576C3D">
        <w:t>EFTAs</w:t>
      </w:r>
      <w:proofErr w:type="spellEnd"/>
      <w:r w:rsidRPr="00576C3D">
        <w:t xml:space="preserve"> overvåkingsorgan underrettet om eventuelle uregelmessigheter knyttet til importører etablert i EFTA-statene og ha mulighet til å anmode om relevante opplysninger fra </w:t>
      </w:r>
      <w:proofErr w:type="spellStart"/>
      <w:r w:rsidRPr="00576C3D">
        <w:t>EFTAs</w:t>
      </w:r>
      <w:proofErr w:type="spellEnd"/>
      <w:r w:rsidRPr="00576C3D">
        <w:t xml:space="preserve"> overvåkingsorgan i den utstrekning det er nødvendig med henblikk på Kommisjonens oppgaver i henhold til denne artikkelen. Videre kan </w:t>
      </w:r>
      <w:proofErr w:type="spellStart"/>
      <w:r w:rsidRPr="00576C3D">
        <w:t>EFTAs</w:t>
      </w:r>
      <w:proofErr w:type="spellEnd"/>
      <w:r w:rsidRPr="00576C3D">
        <w:t xml:space="preserve"> overvåkingsorgan overvåke den samlede massebaserte terskelverdien med hensyn til importører etablert i EFTA-statene.’</w:t>
      </w:r>
    </w:p>
    <w:p w14:paraId="06396F60" w14:textId="77777777" w:rsidR="005D314E" w:rsidRPr="00576C3D" w:rsidRDefault="005D314E" w:rsidP="00576C3D">
      <w:pPr>
        <w:pStyle w:val="friliste2"/>
      </w:pPr>
      <w:r w:rsidRPr="00576C3D">
        <w:t>q)</w:t>
      </w:r>
      <w:r w:rsidRPr="00576C3D">
        <w:tab/>
        <w:t>I artikkel 27:</w:t>
      </w:r>
    </w:p>
    <w:p w14:paraId="6472744A" w14:textId="77777777" w:rsidR="005D314E" w:rsidRPr="00576C3D" w:rsidRDefault="005D314E" w:rsidP="00576C3D">
      <w:pPr>
        <w:pStyle w:val="friliste3"/>
      </w:pPr>
      <w:r w:rsidRPr="00576C3D">
        <w:t>i)</w:t>
      </w:r>
      <w:r w:rsidRPr="00576C3D">
        <w:tab/>
        <w:t xml:space="preserve">i nr. 1, nr. 4 andre punktum og nr. 5 skal ordene ‘eller, når det gjelder importører etablert i EFTA-statene, </w:t>
      </w:r>
      <w:proofErr w:type="spellStart"/>
      <w:r w:rsidRPr="00576C3D">
        <w:t>EFTAs</w:t>
      </w:r>
      <w:proofErr w:type="spellEnd"/>
      <w:r w:rsidRPr="00576C3D">
        <w:t xml:space="preserve"> overvåkingsorgan’ tilføyes etter ordet ‘Kommisjonen’,</w:t>
      </w:r>
    </w:p>
    <w:p w14:paraId="15E4207D" w14:textId="77777777" w:rsidR="005D314E" w:rsidRPr="00576C3D" w:rsidRDefault="005D314E" w:rsidP="00576C3D">
      <w:pPr>
        <w:pStyle w:val="friliste3"/>
      </w:pPr>
      <w:r w:rsidRPr="00576C3D">
        <w:t>ii)</w:t>
      </w:r>
      <w:r w:rsidRPr="00576C3D">
        <w:tab/>
        <w:t>i nr. 2 bokstav a) skal ordene ‘eller, når det gjelder EFTA-statene, under nasjonale varenumre som ikke omfattes av virkeområdet til vedlegg I,’ tilføyes etter ordene ‘som ikke er oppført i vedlegg I’.</w:t>
      </w:r>
    </w:p>
    <w:p w14:paraId="6BBF1A93" w14:textId="77777777" w:rsidR="005D314E" w:rsidRPr="00576C3D" w:rsidRDefault="005D314E" w:rsidP="00576C3D">
      <w:pPr>
        <w:pStyle w:val="friliste2"/>
      </w:pPr>
      <w:r w:rsidRPr="00576C3D">
        <w:t>r)</w:t>
      </w:r>
      <w:r w:rsidRPr="00576C3D">
        <w:tab/>
        <w:t>I artikkel 36:</w:t>
      </w:r>
    </w:p>
    <w:p w14:paraId="1D6B57F7" w14:textId="77777777" w:rsidR="005D314E" w:rsidRPr="00576C3D" w:rsidRDefault="005D314E" w:rsidP="00576C3D">
      <w:pPr>
        <w:pStyle w:val="friliste3"/>
      </w:pPr>
      <w:r w:rsidRPr="00576C3D">
        <w:t>i)</w:t>
      </w:r>
      <w:r w:rsidRPr="00576C3D">
        <w:tab/>
        <w:t>i nr. 2 bokstav a) skal ordene ‘eller, når det gjelder EFTA-statene, fra 1. oktober 2026’ tilføyes etter ordene ‘31. desember 2024’,</w:t>
      </w:r>
    </w:p>
    <w:p w14:paraId="3A1A5B33" w14:textId="77777777" w:rsidR="005D314E" w:rsidRPr="00576C3D" w:rsidRDefault="005D314E" w:rsidP="00576C3D">
      <w:pPr>
        <w:pStyle w:val="friliste3"/>
      </w:pPr>
      <w:r w:rsidRPr="00576C3D">
        <w:t>ii)</w:t>
      </w:r>
      <w:r w:rsidRPr="00576C3D">
        <w:tab/>
        <w:t>i nr. 2 bokstav b) skal ordene ‘eller, når det gjelder EFTA-statene, fra 1. januar 2027’ tilføyes etter ordene ‘1. januar 2026’.</w:t>
      </w:r>
    </w:p>
    <w:p w14:paraId="20297D69" w14:textId="77777777" w:rsidR="005D314E" w:rsidRPr="00576C3D" w:rsidRDefault="005D314E" w:rsidP="00576C3D">
      <w:pPr>
        <w:pStyle w:val="friliste2"/>
      </w:pPr>
      <w:r w:rsidRPr="00576C3D">
        <w:t>s)</w:t>
      </w:r>
      <w:r w:rsidRPr="00576C3D">
        <w:tab/>
        <w:t>I vedlegg I nr. 1 skal ordene ‘eller, når det gjelder EFTA-statene, den tilsvarende klassifiseringen av varer i samsvar med EFTA-statenes respektive nasjonale lovgivning’ tilføyes etter henvisningen til forordning (EØF) nr. 2658/87.</w:t>
      </w:r>
    </w:p>
    <w:p w14:paraId="72BCDC5D" w14:textId="77777777" w:rsidR="005D314E" w:rsidRPr="00576C3D" w:rsidRDefault="005D314E" w:rsidP="00576C3D">
      <w:pPr>
        <w:pStyle w:val="friliste2"/>
      </w:pPr>
      <w:r w:rsidRPr="00576C3D">
        <w:t>t)</w:t>
      </w:r>
      <w:r w:rsidRPr="00576C3D">
        <w:tab/>
        <w:t>I overskriften til vedlegg II skal nytt punktum lyde:</w:t>
      </w:r>
    </w:p>
    <w:p w14:paraId="525ED6F7" w14:textId="77777777" w:rsidR="005D314E" w:rsidRPr="00576C3D" w:rsidRDefault="005D314E" w:rsidP="00576C3D">
      <w:pPr>
        <w:pStyle w:val="Listeavsnitt2"/>
      </w:pPr>
      <w:r w:rsidRPr="00576C3D">
        <w:t>‘For EFTA-statene skal varene identifiseres ved bruk av den tilsvarende klassifiseringen av varer i samsvar med EFTA-statenes respektive nasjonale lovgivning.’</w:t>
      </w:r>
    </w:p>
    <w:p w14:paraId="1B69B340" w14:textId="77777777" w:rsidR="005D314E" w:rsidRPr="00576C3D" w:rsidRDefault="005D314E" w:rsidP="00576C3D">
      <w:pPr>
        <w:pStyle w:val="friliste2"/>
      </w:pPr>
      <w:r w:rsidRPr="00576C3D">
        <w:t>u)</w:t>
      </w:r>
      <w:r w:rsidRPr="00576C3D">
        <w:tab/>
        <w:t>I vedlegg III nr. 1 utgår ordene ‘Island’ og ‘Norge’.</w:t>
      </w:r>
    </w:p>
    <w:p w14:paraId="410E58D8" w14:textId="77777777" w:rsidR="005D314E" w:rsidRPr="00576C3D" w:rsidRDefault="005D314E" w:rsidP="00576C3D">
      <w:pPr>
        <w:pStyle w:val="friliste2"/>
      </w:pPr>
      <w:r w:rsidRPr="00576C3D">
        <w:t>v)</w:t>
      </w:r>
      <w:r w:rsidRPr="00576C3D">
        <w:tab/>
        <w:t xml:space="preserve">Denne forordningen får ikke </w:t>
      </w:r>
      <w:proofErr w:type="gramStart"/>
      <w:r w:rsidRPr="00576C3D">
        <w:t>anvendelse</w:t>
      </w:r>
      <w:proofErr w:type="gramEnd"/>
      <w:r w:rsidRPr="00576C3D">
        <w:t xml:space="preserve"> for Liechtenstein.»</w:t>
      </w:r>
    </w:p>
    <w:p w14:paraId="5E7331F4" w14:textId="77777777" w:rsidR="005D314E" w:rsidRPr="00576C3D" w:rsidRDefault="005D314E" w:rsidP="00576C3D">
      <w:pPr>
        <w:pStyle w:val="avsnitt-undertittel"/>
      </w:pPr>
      <w:r w:rsidRPr="00576C3D">
        <w:t>Artikkel 2</w:t>
      </w:r>
    </w:p>
    <w:p w14:paraId="04505588" w14:textId="77777777" w:rsidR="005D314E" w:rsidRPr="00576C3D" w:rsidRDefault="005D314E" w:rsidP="00576C3D">
      <w:r w:rsidRPr="00576C3D">
        <w:t>Teksten til forordning (EU) 2023/956 og (EU) 2025/2083 på islandsk og norsk, som vil bli kunngjort i EØS-tillegget til Den europeiske unions tidende, skal gis gyldighet.</w:t>
      </w:r>
    </w:p>
    <w:p w14:paraId="18EDE780" w14:textId="77777777" w:rsidR="005D314E" w:rsidRPr="00576C3D" w:rsidRDefault="005D314E" w:rsidP="00576C3D">
      <w:pPr>
        <w:pStyle w:val="avsnitt-undertittel"/>
      </w:pPr>
      <w:r w:rsidRPr="00576C3D">
        <w:t>Artikkel 3</w:t>
      </w:r>
    </w:p>
    <w:p w14:paraId="79D6C99A" w14:textId="77777777" w:rsidR="005D314E" w:rsidRPr="00576C3D" w:rsidRDefault="005D314E" w:rsidP="00576C3D">
      <w:r w:rsidRPr="00576C3D">
        <w:t>Denne beslutning trer i kraft […] eller den fjortende dagen etter at alle meddelelser etter EØS-avtalens artikkel 103 nr. 1 er inngitt</w:t>
      </w:r>
      <w:r w:rsidRPr="00576C3D">
        <w:rPr>
          <w:rStyle w:val="skrift-hevet"/>
        </w:rPr>
        <w:t>*</w:t>
      </w:r>
      <w:r w:rsidRPr="00576C3D">
        <w:t>.</w:t>
      </w:r>
    </w:p>
    <w:p w14:paraId="40010A50" w14:textId="77777777" w:rsidR="005D314E" w:rsidRPr="00576C3D" w:rsidRDefault="005D314E" w:rsidP="00576C3D">
      <w:pPr>
        <w:pStyle w:val="Petit"/>
      </w:pPr>
      <w:r w:rsidRPr="00576C3D">
        <w:t>*[Ingen forfatningsrettslige krav angitt.] [Forfatningsrettslige krav angitt.]</w:t>
      </w:r>
    </w:p>
    <w:p w14:paraId="02F57229" w14:textId="77777777" w:rsidR="005D314E" w:rsidRPr="00576C3D" w:rsidRDefault="005D314E" w:rsidP="00576C3D">
      <w:pPr>
        <w:pStyle w:val="avsnitt-undertittel"/>
      </w:pPr>
      <w:r w:rsidRPr="00576C3D">
        <w:t>Artikkel 4</w:t>
      </w:r>
    </w:p>
    <w:p w14:paraId="1D29533B" w14:textId="77777777" w:rsidR="005D314E" w:rsidRPr="00576C3D" w:rsidRDefault="005D314E" w:rsidP="00576C3D">
      <w:r w:rsidRPr="00576C3D">
        <w:t>Denne beslutning skal kunngjøres i EØS-avdelingen av og EØS-tillegget til Den europeiske unions tidende.</w:t>
      </w:r>
    </w:p>
    <w:p w14:paraId="556ACB16" w14:textId="77777777" w:rsidR="005D314E" w:rsidRPr="00576C3D" w:rsidRDefault="005D314E" w:rsidP="00576C3D">
      <w:r w:rsidRPr="00576C3D">
        <w:t>Utferdiget i Brussel</w:t>
      </w:r>
    </w:p>
    <w:p w14:paraId="7CFDF4DD" w14:textId="77777777" w:rsidR="005D314E" w:rsidRPr="00576C3D" w:rsidRDefault="005D314E" w:rsidP="00576C3D">
      <w:pPr>
        <w:pStyle w:val="Tabellnavn"/>
      </w:pPr>
      <w:r w:rsidRPr="00576C3D">
        <w:t>02N0xt1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40"/>
        <w:gridCol w:w="2360"/>
      </w:tblGrid>
      <w:tr w:rsidR="009D4FD2" w:rsidRPr="00576C3D" w14:paraId="7B432726" w14:textId="77777777">
        <w:trPr>
          <w:trHeight w:val="380"/>
        </w:trPr>
        <w:tc>
          <w:tcPr>
            <w:tcW w:w="2240" w:type="dxa"/>
            <w:tcBorders>
              <w:top w:val="nil"/>
              <w:left w:val="nil"/>
              <w:bottom w:val="nil"/>
              <w:right w:val="nil"/>
            </w:tcBorders>
            <w:tcMar>
              <w:top w:w="128" w:type="dxa"/>
              <w:left w:w="43" w:type="dxa"/>
              <w:bottom w:w="43" w:type="dxa"/>
              <w:right w:w="43" w:type="dxa"/>
            </w:tcMar>
          </w:tcPr>
          <w:p w14:paraId="35A7B560" w14:textId="77777777" w:rsidR="005D314E" w:rsidRPr="00576C3D" w:rsidRDefault="005D314E" w:rsidP="00576C3D">
            <w:r w:rsidRPr="00576C3D">
              <w:rPr>
                <w:rStyle w:val="kursiv"/>
                <w:sz w:val="21"/>
              </w:rPr>
              <w:t>For EØS-komiteen</w:t>
            </w:r>
          </w:p>
        </w:tc>
        <w:tc>
          <w:tcPr>
            <w:tcW w:w="2360" w:type="dxa"/>
            <w:tcBorders>
              <w:top w:val="nil"/>
              <w:left w:val="nil"/>
              <w:bottom w:val="nil"/>
              <w:right w:val="nil"/>
            </w:tcBorders>
            <w:tcMar>
              <w:top w:w="128" w:type="dxa"/>
              <w:left w:w="43" w:type="dxa"/>
              <w:bottom w:w="43" w:type="dxa"/>
              <w:right w:w="43" w:type="dxa"/>
            </w:tcMar>
            <w:vAlign w:val="bottom"/>
          </w:tcPr>
          <w:p w14:paraId="7DE5FDB6" w14:textId="77777777" w:rsidR="005D314E" w:rsidRPr="00576C3D" w:rsidRDefault="005D314E" w:rsidP="00576C3D">
            <w:r w:rsidRPr="00576C3D">
              <w:rPr>
                <w:rStyle w:val="kursiv"/>
                <w:sz w:val="21"/>
              </w:rPr>
              <w:t>EØS-komiteens</w:t>
            </w:r>
          </w:p>
        </w:tc>
      </w:tr>
      <w:tr w:rsidR="009D4FD2" w:rsidRPr="00576C3D" w14:paraId="091CC5C1" w14:textId="77777777">
        <w:trPr>
          <w:trHeight w:val="600"/>
        </w:trPr>
        <w:tc>
          <w:tcPr>
            <w:tcW w:w="2240" w:type="dxa"/>
            <w:tcBorders>
              <w:top w:val="nil"/>
              <w:left w:val="nil"/>
              <w:bottom w:val="nil"/>
              <w:right w:val="nil"/>
            </w:tcBorders>
            <w:tcMar>
              <w:top w:w="128" w:type="dxa"/>
              <w:left w:w="43" w:type="dxa"/>
              <w:bottom w:w="43" w:type="dxa"/>
              <w:right w:w="43" w:type="dxa"/>
            </w:tcMar>
          </w:tcPr>
          <w:p w14:paraId="5A41DCB5" w14:textId="77777777" w:rsidR="005D314E" w:rsidRPr="00576C3D" w:rsidRDefault="005D314E" w:rsidP="00576C3D">
            <w:r w:rsidRPr="00576C3D">
              <w:rPr>
                <w:rStyle w:val="kursiv"/>
                <w:sz w:val="21"/>
              </w:rPr>
              <w:t>Formann</w:t>
            </w:r>
          </w:p>
        </w:tc>
        <w:tc>
          <w:tcPr>
            <w:tcW w:w="2360" w:type="dxa"/>
            <w:tcBorders>
              <w:top w:val="nil"/>
              <w:left w:val="nil"/>
              <w:bottom w:val="nil"/>
              <w:right w:val="nil"/>
            </w:tcBorders>
            <w:tcMar>
              <w:top w:w="128" w:type="dxa"/>
              <w:left w:w="43" w:type="dxa"/>
              <w:bottom w:w="263" w:type="dxa"/>
              <w:right w:w="43" w:type="dxa"/>
            </w:tcMar>
            <w:vAlign w:val="bottom"/>
          </w:tcPr>
          <w:p w14:paraId="2BBCE7FE" w14:textId="77777777" w:rsidR="005D314E" w:rsidRPr="00576C3D" w:rsidRDefault="005D314E" w:rsidP="00576C3D">
            <w:r w:rsidRPr="00576C3D">
              <w:rPr>
                <w:rStyle w:val="kursiv"/>
                <w:sz w:val="21"/>
              </w:rPr>
              <w:t>Sekretær</w:t>
            </w:r>
          </w:p>
        </w:tc>
      </w:tr>
    </w:tbl>
    <w:p w14:paraId="0A0E7E10" w14:textId="77777777" w:rsidR="005D314E" w:rsidRPr="00576C3D" w:rsidRDefault="005D314E" w:rsidP="00576C3D">
      <w:pPr>
        <w:pStyle w:val="Undertittel"/>
      </w:pPr>
      <w:r w:rsidRPr="00576C3D">
        <w:t>Felles erklæring fra avtalepartene i forbindelse med EØS-komiteens beslutning nr. xx/</w:t>
      </w:r>
      <w:proofErr w:type="spellStart"/>
      <w:r w:rsidRPr="00576C3D">
        <w:t>xxxx</w:t>
      </w:r>
      <w:proofErr w:type="spellEnd"/>
      <w:r w:rsidRPr="00576C3D">
        <w:t xml:space="preserve"> [denne beslutningen] som innlemmer forordning (EU) 2023/956 og (EU) 2025/2083 i EØS-avtalen</w:t>
      </w:r>
    </w:p>
    <w:p w14:paraId="6906D399" w14:textId="77777777" w:rsidR="005D314E" w:rsidRPr="00576C3D" w:rsidRDefault="005D314E" w:rsidP="00576C3D">
      <w:r w:rsidRPr="00576C3D">
        <w:t>Innlemmelsen av forordning (EU) 2023/956 og (EU) 2025/2083 i EØS-avtalen krever utvikling av IT-infrastruktur som brukes til å identifisere økonomiske aktører i EFTA-statene og i EU. Avtalepartene er enige om å fortsette arbeidet med å utvikle IT-infrastrukturen som er nødvendig for å sikre at forordning (EU) 2023/956 som endret ved (EU) 2025/2083 fungerer som den skal i hele Det europeiske økonomiske samarbeidsområde, ved å etablere et formelt samarbeid for dette formålet og med sikte på å inngå en avtale om forvaltning, vedlikehold og videreutvikling av den nødvendige IT-infrastrukturen.</w:t>
      </w:r>
    </w:p>
    <w:p w14:paraId="45F07FBB" w14:textId="77777777" w:rsidR="005D314E" w:rsidRPr="00576C3D" w:rsidRDefault="005D314E" w:rsidP="00576C3D">
      <w:pPr>
        <w:pStyle w:val="Undertittel"/>
      </w:pPr>
      <w:r w:rsidRPr="00576C3D">
        <w:t>Erklæring fra Island og Norge i forbindelse med EØS-komiteens beslutning nr. xx/</w:t>
      </w:r>
      <w:proofErr w:type="spellStart"/>
      <w:r w:rsidRPr="00576C3D">
        <w:t>xxxx</w:t>
      </w:r>
      <w:proofErr w:type="spellEnd"/>
      <w:r w:rsidRPr="00576C3D">
        <w:t xml:space="preserve"> [denne beslutningen] som innlemmer forordning (EU) 2023/956 og (EU) 2025/2083 i EØS-avtalen</w:t>
      </w:r>
    </w:p>
    <w:p w14:paraId="3660F908" w14:textId="77777777" w:rsidR="005D314E" w:rsidRPr="00576C3D" w:rsidRDefault="005D314E" w:rsidP="00576C3D">
      <w:r w:rsidRPr="00576C3D">
        <w:t xml:space="preserve">Forordning (EU) 2023/956 som endret ved (EU) 2025/2083 får </w:t>
      </w:r>
      <w:proofErr w:type="gramStart"/>
      <w:r w:rsidRPr="00576C3D">
        <w:t>anvendelse</w:t>
      </w:r>
      <w:proofErr w:type="gramEnd"/>
      <w:r w:rsidRPr="00576C3D">
        <w:t xml:space="preserve"> på varer som bringes til en kunstig øy, en fast eller flytende konstruksjon eller enhver annen konstruksjon på kontinentalsokkelen eller i den eksklusive økonomiske sonen. Det minnes om at innlemmelse i EØS-avtalen av rettsakter med en slik eksepsjonell </w:t>
      </w:r>
      <w:proofErr w:type="gramStart"/>
      <w:r w:rsidRPr="00576C3D">
        <w:t>anvendelse</w:t>
      </w:r>
      <w:proofErr w:type="gramEnd"/>
      <w:r w:rsidRPr="00576C3D">
        <w:t xml:space="preserve"> ikke berører det faktum at EØS-avtalen får </w:t>
      </w:r>
      <w:proofErr w:type="gramStart"/>
      <w:r w:rsidRPr="00576C3D">
        <w:t>anvendelse</w:t>
      </w:r>
      <w:proofErr w:type="gramEnd"/>
      <w:r w:rsidRPr="00576C3D">
        <w:t xml:space="preserve"> i henhold til artikkel 126 på EFTA-statenes territorier.</w:t>
      </w:r>
    </w:p>
    <w:p w14:paraId="413E886A" w14:textId="77777777" w:rsidR="005D314E" w:rsidRPr="00576C3D" w:rsidRDefault="005D314E" w:rsidP="00576C3D"/>
    <w:p w14:paraId="1704228D" w14:textId="70167FDF" w:rsidR="005D314E" w:rsidRPr="007C7530" w:rsidRDefault="007C7530" w:rsidP="007C7530">
      <w:pPr>
        <w:pStyle w:val="Overskrift1"/>
        <w:rPr>
          <w:color w:val="EE0000"/>
        </w:rPr>
      </w:pPr>
      <w:r w:rsidRPr="007C7530">
        <w:rPr>
          <w:color w:val="EE0000"/>
        </w:rPr>
        <w:t>[</w:t>
      </w:r>
      <w:proofErr w:type="spellStart"/>
      <w:r w:rsidRPr="007C7530">
        <w:rPr>
          <w:color w:val="EE0000"/>
        </w:rPr>
        <w:t>Vedleggsnr</w:t>
      </w:r>
      <w:proofErr w:type="spellEnd"/>
      <w:r w:rsidRPr="007C7530">
        <w:rPr>
          <w:color w:val="EE0000"/>
        </w:rPr>
        <w:t>. resett]</w:t>
      </w:r>
    </w:p>
    <w:p w14:paraId="14AE3F1C" w14:textId="64268566" w:rsidR="005D314E" w:rsidRPr="00576C3D" w:rsidRDefault="005D314E" w:rsidP="00576C3D">
      <w:pPr>
        <w:pStyle w:val="vedlegg-nr"/>
      </w:pPr>
    </w:p>
    <w:p w14:paraId="7BB7DE60" w14:textId="34D892FD" w:rsidR="005D314E" w:rsidRPr="00576C3D" w:rsidRDefault="005D314E" w:rsidP="00576C3D">
      <w:pPr>
        <w:pStyle w:val="vedlegg-tit"/>
      </w:pPr>
      <w:r w:rsidRPr="00576C3D">
        <w:t>EØS-KOMITEENS BESLUTNING nr. [...] av [...] om endring av EØS-avtalens protokoll 10 om forenkling av kontroll og formaliteter i forbindelse med godstransport og protokoll 31 om samarbeid på særlige områder utenfor de fire friheter</w:t>
      </w:r>
    </w:p>
    <w:p w14:paraId="57DAF479" w14:textId="77777777" w:rsidR="005D314E" w:rsidRPr="00576C3D" w:rsidRDefault="005D314E" w:rsidP="00576C3D">
      <w:r w:rsidRPr="00576C3D">
        <w:t>EØS-KOMITEEN HAR – under henvisning til avtalen om Det europeiske økonomiske samarbeidsområde, heretter kalt EØS-avtalen, særlig artikkel 86 og 98, og ut fra følgende betraktninger:</w:t>
      </w:r>
    </w:p>
    <w:p w14:paraId="05E19982" w14:textId="77777777" w:rsidR="005D314E" w:rsidRPr="00576C3D" w:rsidRDefault="005D314E" w:rsidP="00576C3D">
      <w:pPr>
        <w:pStyle w:val="friliste"/>
      </w:pPr>
      <w:r w:rsidRPr="00576C3D">
        <w:t>1)</w:t>
      </w:r>
      <w:r w:rsidRPr="00576C3D">
        <w:tab/>
        <w:t>Innlemmelsen av europaparlaments- og rådsforordning (EU) 2023/956</w:t>
      </w:r>
      <w:r w:rsidRPr="00576C3D">
        <w:rPr>
          <w:rStyle w:val="Fotnotereferanse"/>
        </w:rPr>
        <w:footnoteReference w:id="40"/>
      </w:r>
      <w:r w:rsidRPr="00576C3D">
        <w:t xml:space="preserve"> i EØS-avtalen krever bruk av EU-informasjonssystemer som delvis er knyttet til driften av Unionens tollområde. Videre er CBAM-registeret og den felles sentrale plattformen utviklet spesielt for driften av CBAM, som EFTA-statene må knyttes til, noe som krever spesifikke tilpasninger. EFTA-statene er ikke en del av Unionens tollområde og deltar derfor ikke i de spesifikke tollinformasjonssystemene som brukes i forbindelse med CBAM. Når det gjelder deltakelse i tollrelaterte systemer, samt EFTA-spesifikke tilpasninger av CBAM-registeret, er reglene for finansiell deltakelse fastsatt i protokoll 10 til EØS-avtalen. Når det gjelder EFTA-statenes deltakelse i CBAM-registeret og den felles sentrale plattformen, er den finansielle deltakelsen i dette systemet fastsatt i EØS-avtalens protokoll 31 i henhold til reglene i EØS-avtalens artikkel 82 og protokoll 32. Ettersom EFTA-statene vil bidra finansielt til utviklingen og vedlikeholdet av disse systemene, skal de til gjengjeld ha rett til tilgang til og bruk av disse systemene ved </w:t>
      </w:r>
      <w:proofErr w:type="gramStart"/>
      <w:r w:rsidRPr="00576C3D">
        <w:t>anvendelse</w:t>
      </w:r>
      <w:proofErr w:type="gramEnd"/>
      <w:r w:rsidRPr="00576C3D">
        <w:t xml:space="preserve"> av forordning (EU) 2023/956.</w:t>
      </w:r>
    </w:p>
    <w:p w14:paraId="3ACAB1A5" w14:textId="77777777" w:rsidR="005D314E" w:rsidRPr="00576C3D" w:rsidRDefault="005D314E" w:rsidP="00576C3D">
      <w:pPr>
        <w:pStyle w:val="friliste"/>
      </w:pPr>
      <w:r w:rsidRPr="00576C3D">
        <w:t>2)</w:t>
      </w:r>
      <w:r w:rsidRPr="00576C3D">
        <w:tab/>
        <w:t xml:space="preserve">Ettersom forordning (EU) 2023/956 ikke får </w:t>
      </w:r>
      <w:proofErr w:type="gramStart"/>
      <w:r w:rsidRPr="00576C3D">
        <w:t>anvendelse</w:t>
      </w:r>
      <w:proofErr w:type="gramEnd"/>
      <w:r w:rsidRPr="00576C3D">
        <w:t xml:space="preserve"> for Liechtenstein, bør denne beslutning ikke få </w:t>
      </w:r>
      <w:proofErr w:type="gramStart"/>
      <w:r w:rsidRPr="00576C3D">
        <w:t>anvendelse</w:t>
      </w:r>
      <w:proofErr w:type="gramEnd"/>
      <w:r w:rsidRPr="00576C3D">
        <w:t xml:space="preserve"> for Liechtenstein.</w:t>
      </w:r>
    </w:p>
    <w:p w14:paraId="0D0DE13C" w14:textId="77777777" w:rsidR="005D314E" w:rsidRPr="00576C3D" w:rsidRDefault="005D314E" w:rsidP="00576C3D">
      <w:pPr>
        <w:pStyle w:val="friliste"/>
      </w:pPr>
      <w:r w:rsidRPr="00576C3D">
        <w:t>3)</w:t>
      </w:r>
      <w:r w:rsidRPr="00576C3D">
        <w:tab/>
        <w:t>EØS-avtalens protokoll 10 og protokoll 31 bør derfor endres –</w:t>
      </w:r>
    </w:p>
    <w:p w14:paraId="391355D6" w14:textId="77777777" w:rsidR="007C7530" w:rsidRDefault="007C7530" w:rsidP="00576C3D"/>
    <w:p w14:paraId="6886698D" w14:textId="2A347258" w:rsidR="005D314E" w:rsidRPr="00576C3D" w:rsidRDefault="005D314E" w:rsidP="00576C3D">
      <w:r w:rsidRPr="00576C3D">
        <w:t>TRUFFET DENNE BESLUTNING:</w:t>
      </w:r>
    </w:p>
    <w:p w14:paraId="078C2D41" w14:textId="77777777" w:rsidR="005D314E" w:rsidRPr="00576C3D" w:rsidRDefault="005D314E" w:rsidP="00576C3D">
      <w:pPr>
        <w:pStyle w:val="avsnitt-undertittel"/>
      </w:pPr>
      <w:r w:rsidRPr="00576C3D">
        <w:t>Artikkel 1</w:t>
      </w:r>
    </w:p>
    <w:p w14:paraId="27B0C0BA" w14:textId="77777777" w:rsidR="005D314E" w:rsidRPr="00576C3D" w:rsidRDefault="005D314E" w:rsidP="00576C3D">
      <w:r w:rsidRPr="00576C3D">
        <w:t>I EØS-avtalens protokoll 10 gjøres følgende endringer:</w:t>
      </w:r>
    </w:p>
    <w:p w14:paraId="42DE5631" w14:textId="77777777" w:rsidR="005D314E" w:rsidRPr="00576C3D" w:rsidRDefault="005D314E" w:rsidP="00576C3D">
      <w:pPr>
        <w:pStyle w:val="friliste"/>
      </w:pPr>
      <w:r w:rsidRPr="00576C3D">
        <w:t>1.</w:t>
      </w:r>
      <w:r w:rsidRPr="00576C3D">
        <w:tab/>
        <w:t xml:space="preserve">I artikkel 2 nr. 1 tilføyes følgende: «, og for tekniske og finansielle ordninger som er nødvendige for </w:t>
      </w:r>
      <w:proofErr w:type="gramStart"/>
      <w:r w:rsidRPr="00576C3D">
        <w:t>anvendelsen</w:t>
      </w:r>
      <w:proofErr w:type="gramEnd"/>
      <w:r w:rsidRPr="00576C3D">
        <w:t xml:space="preserve"> av forordning (EU) 2023/956 (CBAM), som innlemmet i EØS-avtalens vedlegg XX.»</w:t>
      </w:r>
    </w:p>
    <w:p w14:paraId="669D7F99" w14:textId="77777777" w:rsidR="005D314E" w:rsidRPr="00576C3D" w:rsidRDefault="005D314E" w:rsidP="00576C3D">
      <w:pPr>
        <w:pStyle w:val="friliste"/>
      </w:pPr>
      <w:r w:rsidRPr="00576C3D">
        <w:t>2.</w:t>
      </w:r>
      <w:r w:rsidRPr="00576C3D">
        <w:tab/>
        <w:t>I artikkel 2 skal nye numre lyde:</w:t>
      </w:r>
    </w:p>
    <w:p w14:paraId="4334FCB4" w14:textId="77777777" w:rsidR="005D314E" w:rsidRPr="00576C3D" w:rsidRDefault="005D314E" w:rsidP="00576C3D">
      <w:pPr>
        <w:pStyle w:val="friliste2"/>
      </w:pPr>
      <w:r w:rsidRPr="00576C3D">
        <w:t>«5.</w:t>
      </w:r>
      <w:r w:rsidRPr="00576C3D">
        <w:tab/>
        <w:t xml:space="preserve">Bestemmelsene i vedlegg III til protokollen om </w:t>
      </w:r>
      <w:proofErr w:type="gramStart"/>
      <w:r w:rsidRPr="00576C3D">
        <w:t>anvendelsen</w:t>
      </w:r>
      <w:proofErr w:type="gramEnd"/>
      <w:r w:rsidRPr="00576C3D">
        <w:t xml:space="preserve"> av forordning (EU) 2023/956 får </w:t>
      </w:r>
      <w:proofErr w:type="gramStart"/>
      <w:r w:rsidRPr="00576C3D">
        <w:t>anvendelse</w:t>
      </w:r>
      <w:proofErr w:type="gramEnd"/>
      <w:r w:rsidRPr="00576C3D">
        <w:t xml:space="preserve"> mellom Fellesskapet, Island og Norge.</w:t>
      </w:r>
    </w:p>
    <w:p w14:paraId="62CF6359" w14:textId="77777777" w:rsidR="005D314E" w:rsidRPr="00576C3D" w:rsidRDefault="005D314E" w:rsidP="00576C3D">
      <w:pPr>
        <w:pStyle w:val="friliste2"/>
      </w:pPr>
      <w:r w:rsidRPr="00576C3D">
        <w:t>6.</w:t>
      </w:r>
      <w:r w:rsidRPr="00576C3D">
        <w:tab/>
        <w:t>Når det vises til avtalepartenes tollområde i vedlegg III til denne protokoll, omfatter dette:</w:t>
      </w:r>
    </w:p>
    <w:p w14:paraId="492344FE" w14:textId="77777777" w:rsidR="005D314E" w:rsidRPr="00576C3D" w:rsidRDefault="005D314E" w:rsidP="00576C3D">
      <w:pPr>
        <w:pStyle w:val="Liste3"/>
      </w:pPr>
      <w:r w:rsidRPr="00576C3D">
        <w:t>Fellesskapets tollområde,</w:t>
      </w:r>
    </w:p>
    <w:p w14:paraId="691AA12F" w14:textId="77777777" w:rsidR="005D314E" w:rsidRPr="00576C3D" w:rsidRDefault="005D314E" w:rsidP="00576C3D">
      <w:pPr>
        <w:pStyle w:val="Liste3"/>
      </w:pPr>
      <w:r w:rsidRPr="00576C3D">
        <w:t>Islands tollområde,</w:t>
      </w:r>
    </w:p>
    <w:p w14:paraId="3DA66AE8" w14:textId="77777777" w:rsidR="005D314E" w:rsidRPr="00576C3D" w:rsidRDefault="005D314E" w:rsidP="00576C3D">
      <w:pPr>
        <w:pStyle w:val="Liste3"/>
      </w:pPr>
      <w:r w:rsidRPr="00576C3D">
        <w:t>Norges tollområde.»</w:t>
      </w:r>
    </w:p>
    <w:p w14:paraId="34601029" w14:textId="77777777" w:rsidR="005D314E" w:rsidRPr="00576C3D" w:rsidRDefault="005D314E" w:rsidP="00576C3D">
      <w:pPr>
        <w:pStyle w:val="friliste"/>
      </w:pPr>
      <w:r w:rsidRPr="00576C3D">
        <w:t>3.</w:t>
      </w:r>
      <w:r w:rsidRPr="00576C3D">
        <w:tab/>
        <w:t>Etter vedlegg II skal nytt vedlegg lyde:</w:t>
      </w:r>
    </w:p>
    <w:p w14:paraId="6458D27A" w14:textId="77777777" w:rsidR="005D314E" w:rsidRPr="00576C3D" w:rsidRDefault="005D314E" w:rsidP="00576C3D">
      <w:pPr>
        <w:pStyle w:val="avsnitt-undertittel"/>
      </w:pPr>
      <w:r w:rsidRPr="00576C3D">
        <w:t>«Vedlegg III</w:t>
      </w:r>
    </w:p>
    <w:p w14:paraId="3E8F8D81" w14:textId="77777777" w:rsidR="005D314E" w:rsidRPr="00576C3D" w:rsidRDefault="005D314E" w:rsidP="00576C3D">
      <w:pPr>
        <w:pStyle w:val="Undertittel"/>
      </w:pPr>
      <w:r w:rsidRPr="00576C3D">
        <w:t xml:space="preserve">Tekniske og finansielle ordninger for </w:t>
      </w:r>
      <w:proofErr w:type="gramStart"/>
      <w:r w:rsidRPr="00576C3D">
        <w:t>anvendelsen</w:t>
      </w:r>
      <w:proofErr w:type="gramEnd"/>
      <w:r w:rsidRPr="00576C3D">
        <w:t xml:space="preserve"> av forordning (EU) 2023/956</w:t>
      </w:r>
    </w:p>
    <w:p w14:paraId="24345905" w14:textId="77777777" w:rsidR="005D314E" w:rsidRPr="00576C3D" w:rsidRDefault="005D314E" w:rsidP="00576C3D">
      <w:pPr>
        <w:pStyle w:val="avsnitt-undertittel"/>
        <w:rPr>
          <w:rStyle w:val="kursiv"/>
        </w:rPr>
      </w:pPr>
      <w:r w:rsidRPr="00576C3D">
        <w:rPr>
          <w:rStyle w:val="kursiv"/>
        </w:rPr>
        <w:t>Artikkel 1</w:t>
      </w:r>
    </w:p>
    <w:p w14:paraId="0747CF6A" w14:textId="77777777" w:rsidR="005D314E" w:rsidRPr="00576C3D" w:rsidRDefault="005D314E" w:rsidP="00576C3D">
      <w:pPr>
        <w:pStyle w:val="Undertittel"/>
        <w:rPr>
          <w:rStyle w:val="kursiv"/>
        </w:rPr>
      </w:pPr>
      <w:r w:rsidRPr="00576C3D">
        <w:rPr>
          <w:rStyle w:val="kursiv"/>
        </w:rPr>
        <w:t>Definisjoner</w:t>
      </w:r>
    </w:p>
    <w:p w14:paraId="68ECCAA1" w14:textId="77777777" w:rsidR="005D314E" w:rsidRPr="00576C3D" w:rsidRDefault="005D314E" w:rsidP="00576C3D">
      <w:pPr>
        <w:pStyle w:val="friliste"/>
      </w:pPr>
      <w:r w:rsidRPr="00576C3D">
        <w:t>1.</w:t>
      </w:r>
      <w:r w:rsidRPr="00576C3D">
        <w:tab/>
        <w:t>I dette vedlegg menes med</w:t>
      </w:r>
    </w:p>
    <w:p w14:paraId="5F267A5F" w14:textId="77777777" w:rsidR="005D314E" w:rsidRPr="00576C3D" w:rsidRDefault="005D314E" w:rsidP="00576C3D">
      <w:pPr>
        <w:pStyle w:val="friliste2"/>
      </w:pPr>
      <w:r w:rsidRPr="00576C3D">
        <w:t>a)</w:t>
      </w:r>
      <w:r w:rsidRPr="00576C3D">
        <w:tab/>
        <w:t>«CBAM-register» registeret over autoriserte CBAM-</w:t>
      </w:r>
      <w:proofErr w:type="spellStart"/>
      <w:r w:rsidRPr="00576C3D">
        <w:t>deklaranter</w:t>
      </w:r>
      <w:proofErr w:type="spellEnd"/>
      <w:r w:rsidRPr="00576C3D">
        <w:t xml:space="preserve"> i form av en standardisert elektronisk database som inneholder opplysningene om CBAM-sertifikatene til disse autoriserte CBAM-</w:t>
      </w:r>
      <w:proofErr w:type="spellStart"/>
      <w:r w:rsidRPr="00576C3D">
        <w:t>deklarantene</w:t>
      </w:r>
      <w:proofErr w:type="spellEnd"/>
      <w:r w:rsidRPr="00576C3D">
        <w:t>, som opprettet i henhold til artikkel 14 i forordning (EU) 2023/956,</w:t>
      </w:r>
    </w:p>
    <w:p w14:paraId="62318053" w14:textId="77777777" w:rsidR="005D314E" w:rsidRPr="00576C3D" w:rsidRDefault="005D314E" w:rsidP="00576C3D">
      <w:pPr>
        <w:pStyle w:val="friliste2"/>
      </w:pPr>
      <w:r w:rsidRPr="00576C3D">
        <w:t>b)</w:t>
      </w:r>
      <w:r w:rsidRPr="00576C3D">
        <w:tab/>
        <w:t>«CRMS» styringssystemet for tollrisiko nevnt i artikkel 36 i Kommisjonens gjennomføringsforordning (EU) 2015/2447.</w:t>
      </w:r>
    </w:p>
    <w:p w14:paraId="2014ECFC" w14:textId="77777777" w:rsidR="005D314E" w:rsidRPr="00576C3D" w:rsidRDefault="005D314E" w:rsidP="00576C3D">
      <w:pPr>
        <w:pStyle w:val="avsnitt-undertittel"/>
      </w:pPr>
      <w:r w:rsidRPr="00576C3D">
        <w:t>Artikkel 2</w:t>
      </w:r>
    </w:p>
    <w:p w14:paraId="5DD44A8C" w14:textId="77777777" w:rsidR="005D314E" w:rsidRPr="00576C3D" w:rsidRDefault="005D314E" w:rsidP="00576C3D">
      <w:pPr>
        <w:pStyle w:val="Undertittel"/>
      </w:pPr>
      <w:r w:rsidRPr="00576C3D">
        <w:t>Avtalepartenes forpliktelser</w:t>
      </w:r>
    </w:p>
    <w:p w14:paraId="343CD63F" w14:textId="77777777" w:rsidR="005D314E" w:rsidRPr="00576C3D" w:rsidRDefault="005D314E" w:rsidP="00576C3D">
      <w:pPr>
        <w:pStyle w:val="avsnitt-undertittel"/>
      </w:pPr>
      <w:r w:rsidRPr="00576C3D">
        <w:t>Artikkel 3</w:t>
      </w:r>
    </w:p>
    <w:p w14:paraId="1CF3EC41" w14:textId="77777777" w:rsidR="005D314E" w:rsidRPr="00576C3D" w:rsidRDefault="005D314E" w:rsidP="00576C3D">
      <w:pPr>
        <w:pStyle w:val="Undertittel"/>
      </w:pPr>
      <w:r w:rsidRPr="00576C3D">
        <w:t>CBAM-prosesser knyttet til tollmyndighetenes kontroll og risikostyring</w:t>
      </w:r>
    </w:p>
    <w:p w14:paraId="54BB4A63" w14:textId="77777777" w:rsidR="005D314E" w:rsidRPr="00576C3D" w:rsidRDefault="005D314E" w:rsidP="00576C3D">
      <w:pPr>
        <w:pStyle w:val="friliste"/>
      </w:pPr>
      <w:r w:rsidRPr="00576C3D">
        <w:t>1.</w:t>
      </w:r>
      <w:r w:rsidRPr="00576C3D">
        <w:tab/>
        <w:t>For utveksling og lagring av opplysninger om kommunikasjonen mellom Kommisjonen og tollmyndighetene i Norge og på Island skal CBAM-registeret brukes. For opplysninger som gjelder CBAM-relatert tollrisiko, skal CRMS-systemet brukes.</w:t>
      </w:r>
    </w:p>
    <w:p w14:paraId="30218A76" w14:textId="77777777" w:rsidR="005D314E" w:rsidRPr="00576C3D" w:rsidRDefault="005D314E" w:rsidP="00576C3D">
      <w:pPr>
        <w:pStyle w:val="friliste"/>
      </w:pPr>
      <w:r w:rsidRPr="00576C3D">
        <w:t>2.</w:t>
      </w:r>
      <w:r w:rsidRPr="00576C3D">
        <w:tab/>
        <w:t xml:space="preserve">CRMS-systemet skal brukes for kommunikasjon mellom tollmyndighetene og mellom tollmyndighetene og Kommisjonen ved </w:t>
      </w:r>
      <w:proofErr w:type="gramStart"/>
      <w:r w:rsidRPr="00576C3D">
        <w:t>anvendelse</w:t>
      </w:r>
      <w:proofErr w:type="gramEnd"/>
      <w:r w:rsidRPr="00576C3D">
        <w:t xml:space="preserve"> av forordning (EU) 2023/956 og for utveksling av opplysninger som gjelder CBAM-relatert tollrisiko, og risikoanalyser som nevnt i forordning (EU) 2023/956.</w:t>
      </w:r>
    </w:p>
    <w:p w14:paraId="11C9AA2F" w14:textId="77777777" w:rsidR="005D314E" w:rsidRPr="00576C3D" w:rsidRDefault="005D314E" w:rsidP="00576C3D">
      <w:pPr>
        <w:pStyle w:val="avsnitt-undertittel"/>
      </w:pPr>
      <w:r w:rsidRPr="00576C3D">
        <w:t>Artikkel 4</w:t>
      </w:r>
    </w:p>
    <w:p w14:paraId="00929456" w14:textId="77777777" w:rsidR="005D314E" w:rsidRPr="00576C3D" w:rsidRDefault="005D314E" w:rsidP="00576C3D">
      <w:pPr>
        <w:pStyle w:val="Undertittel"/>
      </w:pPr>
      <w:r w:rsidRPr="00576C3D">
        <w:t>Enhetlig plattform for brukerstyring og digital signatur</w:t>
      </w:r>
    </w:p>
    <w:p w14:paraId="125150C1" w14:textId="77777777" w:rsidR="005D314E" w:rsidRPr="00576C3D" w:rsidRDefault="005D314E" w:rsidP="00576C3D">
      <w:pPr>
        <w:pStyle w:val="friliste"/>
      </w:pPr>
      <w:r w:rsidRPr="00576C3D">
        <w:t>1.</w:t>
      </w:r>
      <w:r w:rsidRPr="00576C3D">
        <w:tab/>
        <w:t>Autentisering av og tilgangskontroll for Islands og Norges økonomiske aktører og tjenestemenn med henblikk på tilgang til de felles komponentene i CBAM-registeret skal skje ved bruk av den enhetlige plattformen for brukerstyring og digital signatur (eller «UUM&amp;DS-plattformen»).</w:t>
      </w:r>
    </w:p>
    <w:p w14:paraId="5493C7B7" w14:textId="77777777" w:rsidR="005D314E" w:rsidRPr="00576C3D" w:rsidRDefault="005D314E" w:rsidP="00576C3D">
      <w:pPr>
        <w:pStyle w:val="friliste"/>
      </w:pPr>
      <w:r w:rsidRPr="00576C3D">
        <w:t>2.</w:t>
      </w:r>
      <w:r w:rsidRPr="00576C3D">
        <w:tab/>
        <w:t>UUM&amp;DS-plattformen skal sikre kommunikasjonen mellom avtalepartenes identitets- og tilgangsstyringssystemer omhandlet i nr. 7, slik at avtalepartenes tjenestemenn og økonomiske operatører får en sikker autorisert tilgang til de elektroniske systemene.</w:t>
      </w:r>
    </w:p>
    <w:p w14:paraId="4461A763" w14:textId="77777777" w:rsidR="005D314E" w:rsidRPr="00576C3D" w:rsidRDefault="005D314E" w:rsidP="00576C3D">
      <w:pPr>
        <w:pStyle w:val="friliste"/>
      </w:pPr>
      <w:r w:rsidRPr="00576C3D">
        <w:t>3.</w:t>
      </w:r>
      <w:r w:rsidRPr="00576C3D">
        <w:tab/>
        <w:t>UUM&amp;DS-plattformen skal bestå av følgende felles komponenter:</w:t>
      </w:r>
    </w:p>
    <w:p w14:paraId="715F5256" w14:textId="77777777" w:rsidR="005D314E" w:rsidRPr="00576C3D" w:rsidRDefault="005D314E" w:rsidP="00576C3D">
      <w:pPr>
        <w:pStyle w:val="friliste2"/>
      </w:pPr>
      <w:r w:rsidRPr="00576C3D">
        <w:t>a)</w:t>
      </w:r>
      <w:r w:rsidRPr="00576C3D">
        <w:tab/>
        <w:t>Et tilgangsstyringssystem.</w:t>
      </w:r>
    </w:p>
    <w:p w14:paraId="70E6911E" w14:textId="77777777" w:rsidR="005D314E" w:rsidRPr="00576C3D" w:rsidRDefault="005D314E" w:rsidP="00576C3D">
      <w:pPr>
        <w:pStyle w:val="friliste2"/>
      </w:pPr>
      <w:r w:rsidRPr="00576C3D">
        <w:t>b)</w:t>
      </w:r>
      <w:r w:rsidRPr="00576C3D">
        <w:tab/>
        <w:t>Et administrasjonsstyringssystem.</w:t>
      </w:r>
    </w:p>
    <w:p w14:paraId="585A310B" w14:textId="77777777" w:rsidR="005D314E" w:rsidRPr="00576C3D" w:rsidRDefault="005D314E" w:rsidP="00576C3D">
      <w:pPr>
        <w:pStyle w:val="friliste"/>
      </w:pPr>
      <w:r w:rsidRPr="00576C3D">
        <w:t>4.</w:t>
      </w:r>
      <w:r w:rsidRPr="00576C3D">
        <w:tab/>
        <w:t>UUM&amp;DS-plattformen skal brukes til å sikre autentisering og tilgangskontroll av:</w:t>
      </w:r>
    </w:p>
    <w:p w14:paraId="17186AA9" w14:textId="77777777" w:rsidR="005D314E" w:rsidRPr="00576C3D" w:rsidRDefault="005D314E" w:rsidP="00576C3D">
      <w:pPr>
        <w:pStyle w:val="friliste2"/>
      </w:pPr>
      <w:r w:rsidRPr="00576C3D">
        <w:t>a)</w:t>
      </w:r>
      <w:r w:rsidRPr="00576C3D">
        <w:tab/>
        <w:t>økonomiske operatører i forbindelse med tilgang til CBAM-registeret,</w:t>
      </w:r>
    </w:p>
    <w:p w14:paraId="1EC08BF2" w14:textId="77777777" w:rsidR="005D314E" w:rsidRPr="00576C3D" w:rsidRDefault="005D314E" w:rsidP="00576C3D">
      <w:pPr>
        <w:pStyle w:val="friliste2"/>
      </w:pPr>
      <w:r w:rsidRPr="00576C3D">
        <w:t>b)</w:t>
      </w:r>
      <w:r w:rsidRPr="00576C3D">
        <w:tab/>
        <w:t>avtalepartenes tjenestemenn i forbindelse med tilgang til de felles komponentene i CBAM-registeret og i forbindelse med vedlikehold og forvaltning av UUM&amp;DS-plattformen.</w:t>
      </w:r>
    </w:p>
    <w:p w14:paraId="5BC57F61" w14:textId="77777777" w:rsidR="005D314E" w:rsidRPr="00576C3D" w:rsidRDefault="005D314E" w:rsidP="00576C3D">
      <w:pPr>
        <w:pStyle w:val="friliste"/>
      </w:pPr>
      <w:r w:rsidRPr="00576C3D">
        <w:t>5.</w:t>
      </w:r>
      <w:r w:rsidRPr="00576C3D">
        <w:tab/>
        <w:t>Avtalepartene skal sette opp Kommisjonens tilgangsstyringssystem for å validere tilgangsforespørslene som økonomiske operatører sender inn via UUM&amp;DS-plattformen, ved samvirkning med avtalepartenes identitets- og tilgangsstyringssystemer omhandlet i nr. 7.</w:t>
      </w:r>
    </w:p>
    <w:p w14:paraId="42B49C7B" w14:textId="77777777" w:rsidR="005D314E" w:rsidRPr="00576C3D" w:rsidRDefault="005D314E" w:rsidP="00576C3D">
      <w:pPr>
        <w:pStyle w:val="friliste"/>
      </w:pPr>
      <w:r w:rsidRPr="00576C3D">
        <w:t>6.</w:t>
      </w:r>
      <w:r w:rsidRPr="00576C3D">
        <w:tab/>
        <w:t>Avtalepartene skal sette opp administrasjonsstyringssystemet for å styre autentiserings- og godkjenningsreglene for validering av identifikasjonsdata for økonomiske operatører for å gi tilgang til de elektroniske systemene.</w:t>
      </w:r>
    </w:p>
    <w:p w14:paraId="25E3F845" w14:textId="77777777" w:rsidR="005D314E" w:rsidRPr="00576C3D" w:rsidRDefault="005D314E" w:rsidP="00576C3D">
      <w:pPr>
        <w:pStyle w:val="friliste"/>
      </w:pPr>
      <w:r w:rsidRPr="00576C3D">
        <w:t>7.</w:t>
      </w:r>
      <w:r w:rsidRPr="00576C3D">
        <w:tab/>
        <w:t>Avtalepartene skal sette opp et identitets- og tilgangsstyringssystem for å sikre:</w:t>
      </w:r>
    </w:p>
    <w:p w14:paraId="35B843E3" w14:textId="77777777" w:rsidR="005D314E" w:rsidRPr="00576C3D" w:rsidRDefault="005D314E" w:rsidP="00576C3D">
      <w:pPr>
        <w:pStyle w:val="friliste2"/>
      </w:pPr>
      <w:r w:rsidRPr="00576C3D">
        <w:t>a)</w:t>
      </w:r>
      <w:r w:rsidRPr="00576C3D">
        <w:tab/>
        <w:t>sikker registrering og lagring av identifikasjonsdata for økonomiske operatører,</w:t>
      </w:r>
    </w:p>
    <w:p w14:paraId="7911269D" w14:textId="77777777" w:rsidR="005D314E" w:rsidRPr="00576C3D" w:rsidRDefault="005D314E" w:rsidP="00576C3D">
      <w:pPr>
        <w:pStyle w:val="friliste2"/>
      </w:pPr>
      <w:r w:rsidRPr="00576C3D">
        <w:t>b)</w:t>
      </w:r>
      <w:r w:rsidRPr="00576C3D">
        <w:tab/>
        <w:t>sikker utveksling av signerte og krypterte identifikasjonsdata for økonomiske operatører.</w:t>
      </w:r>
    </w:p>
    <w:p w14:paraId="22035C5C" w14:textId="77777777" w:rsidR="005D314E" w:rsidRPr="00576C3D" w:rsidRDefault="005D314E" w:rsidP="00576C3D">
      <w:pPr>
        <w:pStyle w:val="avsnitt-undertittel"/>
      </w:pPr>
      <w:r w:rsidRPr="00576C3D">
        <w:t>Artikkel 5</w:t>
      </w:r>
    </w:p>
    <w:p w14:paraId="75FAEAB1" w14:textId="77777777" w:rsidR="005D314E" w:rsidRPr="00576C3D" w:rsidRDefault="005D314E" w:rsidP="00576C3D">
      <w:pPr>
        <w:pStyle w:val="Undertittel"/>
        <w:rPr>
          <w:rStyle w:val="kursiv"/>
        </w:rPr>
      </w:pPr>
      <w:r w:rsidRPr="00576C3D">
        <w:rPr>
          <w:rStyle w:val="kursiv"/>
        </w:rPr>
        <w:t>Beskyttelse av taushetsplikt og personvern</w:t>
      </w:r>
    </w:p>
    <w:p w14:paraId="360A8E20" w14:textId="77777777" w:rsidR="005D314E" w:rsidRPr="00576C3D" w:rsidRDefault="005D314E" w:rsidP="00576C3D">
      <w:pPr>
        <w:pStyle w:val="friliste"/>
      </w:pPr>
      <w:r w:rsidRPr="00576C3D">
        <w:t>1.</w:t>
      </w:r>
      <w:r w:rsidRPr="00576C3D">
        <w:tab/>
        <w:t>Opplysningene som avtalepartene utveksler som en del av tiltakene fastsatt i dette kapittelet, skal omfattes av den beskyttelsen som gjelder taushetsplikt og personopplysninger som er definert i gjeldende relevant lovgivning på territoriet til mottakende avtalepart.</w:t>
      </w:r>
    </w:p>
    <w:p w14:paraId="4DFB24FC" w14:textId="77777777" w:rsidR="005D314E" w:rsidRPr="00576C3D" w:rsidRDefault="005D314E" w:rsidP="00576C3D">
      <w:pPr>
        <w:pStyle w:val="friliste"/>
      </w:pPr>
      <w:r w:rsidRPr="00576C3D">
        <w:t>2.</w:t>
      </w:r>
      <w:r w:rsidRPr="00576C3D">
        <w:tab/>
        <w:t>Disse opplysningene kan ikke videresendes til andre personer enn de ansvarlige myndighetene i mottakende avtalepart, og vedkommende myndighet kan heller ikke benytte opplysningene for noe annet formål enn det som er fastsatt i avtalen.</w:t>
      </w:r>
    </w:p>
    <w:p w14:paraId="36C6BCB3" w14:textId="77777777" w:rsidR="005D314E" w:rsidRPr="00576C3D" w:rsidRDefault="005D314E" w:rsidP="00576C3D">
      <w:pPr>
        <w:pStyle w:val="avsnitt-undertittel"/>
      </w:pPr>
      <w:r w:rsidRPr="00576C3D">
        <w:t>Artikkel 6</w:t>
      </w:r>
    </w:p>
    <w:p w14:paraId="0142011D" w14:textId="77777777" w:rsidR="005D314E" w:rsidRPr="00576C3D" w:rsidRDefault="005D314E" w:rsidP="00576C3D">
      <w:pPr>
        <w:pStyle w:val="Undertittel"/>
      </w:pPr>
      <w:r w:rsidRPr="00576C3D">
        <w:t>Databehandling, -eierskap og -sikkerhet</w:t>
      </w:r>
    </w:p>
    <w:p w14:paraId="5C316018" w14:textId="77777777" w:rsidR="005D314E" w:rsidRPr="00576C3D" w:rsidRDefault="005D314E" w:rsidP="00576C3D">
      <w:pPr>
        <w:pStyle w:val="friliste"/>
      </w:pPr>
      <w:r w:rsidRPr="00576C3D">
        <w:t>1.</w:t>
      </w:r>
      <w:r w:rsidRPr="00576C3D">
        <w:tab/>
        <w:t>Avtalepartene skal sikre at dataene som er registrert på nasjonalt plan, samsvarer med dataene som er registrert i de felles komponentene, og at de holdes oppdaterte.</w:t>
      </w:r>
    </w:p>
    <w:p w14:paraId="6D405926" w14:textId="77777777" w:rsidR="005D314E" w:rsidRPr="00576C3D" w:rsidRDefault="005D314E" w:rsidP="00576C3D">
      <w:pPr>
        <w:pStyle w:val="avsnitt-undertittel"/>
      </w:pPr>
      <w:r w:rsidRPr="00576C3D">
        <w:t>Artikkel 7</w:t>
      </w:r>
    </w:p>
    <w:p w14:paraId="58A909B4" w14:textId="77777777" w:rsidR="005D314E" w:rsidRPr="00576C3D" w:rsidRDefault="005D314E" w:rsidP="00576C3D">
      <w:pPr>
        <w:pStyle w:val="Undertittel"/>
      </w:pPr>
      <w:r w:rsidRPr="00576C3D">
        <w:t>Ordninger som gjelder ansvar, forpliktelser og forventninger ved gjennomføring og drift av CBAM-registerkomponentene, herunder de applikasjonene og tjenestene som kreves for driften av disse og deres sammenkobling med IT-systemene på Island og i Norge</w:t>
      </w:r>
    </w:p>
    <w:p w14:paraId="67E624D1" w14:textId="77777777" w:rsidR="005D314E" w:rsidRPr="00576C3D" w:rsidRDefault="005D314E" w:rsidP="00576C3D">
      <w:pPr>
        <w:pStyle w:val="friliste"/>
      </w:pPr>
      <w:r w:rsidRPr="00576C3D">
        <w:t>1.</w:t>
      </w:r>
      <w:r w:rsidRPr="00576C3D">
        <w:tab/>
        <w:t>Når det gjelder utvidelsen av bruken av CBAM-registeret til Island og Norge, definerer disse finansieringsordningene (heretter kalt «ordningene») elementene for avtalepartenes samarbeid knyttet CBAM-registeret.</w:t>
      </w:r>
    </w:p>
    <w:p w14:paraId="031F4B62" w14:textId="77777777" w:rsidR="005D314E" w:rsidRPr="00576C3D" w:rsidRDefault="005D314E" w:rsidP="00576C3D">
      <w:pPr>
        <w:pStyle w:val="friliste2"/>
      </w:pPr>
      <w:r w:rsidRPr="00576C3D">
        <w:t>a)</w:t>
      </w:r>
      <w:r w:rsidRPr="00576C3D">
        <w:tab/>
        <w:t>Kommisjonen skal utvikle, teste, innføre, forvalte og drifte de spesifikke tilpasningene av CBAM-registerkomponenter som er nødvendige for EFTA-statene, herunder de applikasjonene, tjenestene, kommunikasjonssystemene og underliggende tollsystemene som kreves for driften av CBAM, f.eks. UUM&amp;DS, CCN2ng-mellomvare, CRMS2, CRS og analyseverktøy (Datalab).</w:t>
      </w:r>
    </w:p>
    <w:p w14:paraId="629B9FD4" w14:textId="77777777" w:rsidR="005D314E" w:rsidRPr="00576C3D" w:rsidRDefault="005D314E" w:rsidP="00576C3D">
      <w:pPr>
        <w:pStyle w:val="friliste2"/>
      </w:pPr>
      <w:r w:rsidRPr="00576C3D">
        <w:t>b)</w:t>
      </w:r>
      <w:r w:rsidRPr="00576C3D">
        <w:tab/>
        <w:t>Island og Norge skal utvikle, teste, innføre, forvalte og drifte alle nasjonale komponenter som anses å være nødvendige for sammenkoblingen med CBAM-registeret og driften av de felles sentrale CBAM-prosessene, slik som:</w:t>
      </w:r>
    </w:p>
    <w:p w14:paraId="074F6ED3" w14:textId="77777777" w:rsidR="005D314E" w:rsidRPr="00576C3D" w:rsidRDefault="005D314E" w:rsidP="00576C3D">
      <w:pPr>
        <w:pStyle w:val="friliste3"/>
      </w:pPr>
      <w:r w:rsidRPr="00576C3D">
        <w:t>1)</w:t>
      </w:r>
      <w:r w:rsidRPr="00576C3D">
        <w:tab/>
        <w:t xml:space="preserve">levering av tollkompatible </w:t>
      </w:r>
      <w:proofErr w:type="spellStart"/>
      <w:r w:rsidRPr="00576C3D">
        <w:t>datauttrekk</w:t>
      </w:r>
      <w:proofErr w:type="spellEnd"/>
      <w:r w:rsidRPr="00576C3D">
        <w:t xml:space="preserve"> som er kompatible med den relevante datastrukturen som kreves for opplastinger til CBAM-registeret, herunder bruk av KN- og TARIC-koder for den relaterte tolldatatransaksjonen som er registrert på Island eller i Norge,</w:t>
      </w:r>
    </w:p>
    <w:p w14:paraId="0D5B40DD" w14:textId="77777777" w:rsidR="005D314E" w:rsidRPr="00576C3D" w:rsidRDefault="005D314E" w:rsidP="00576C3D">
      <w:pPr>
        <w:pStyle w:val="friliste3"/>
      </w:pPr>
      <w:r w:rsidRPr="00576C3D">
        <w:t>2)</w:t>
      </w:r>
      <w:r w:rsidRPr="00576C3D">
        <w:tab/>
        <w:t>levering av næringsdrivendes identifikasjonsnumre og alle relaterte data til CBAM-registeret i et format som er kompatibelt med den relevante datastrukturen i CBAM-registeret, samt regelmessig oppdatering av disse dataene.</w:t>
      </w:r>
    </w:p>
    <w:p w14:paraId="00D41835" w14:textId="77777777" w:rsidR="005D314E" w:rsidRPr="00576C3D" w:rsidRDefault="005D314E" w:rsidP="00576C3D">
      <w:pPr>
        <w:pStyle w:val="friliste2"/>
      </w:pPr>
      <w:r w:rsidRPr="00576C3D">
        <w:t>c)</w:t>
      </w:r>
      <w:r w:rsidRPr="00576C3D">
        <w:tab/>
        <w:t>Island og Norge samtykker i å dekke engangskostnadene som påløper i forbindelse med spesifikke tilpasninger av og/eller nye IT-produkter for CBAM-registerkomponentene samt tilhørende applikasjoner og tjenester som er nødvendige for driften og sammenkoblingen av disse, som nevnt i bokstav a), på følgende måte:</w:t>
      </w:r>
    </w:p>
    <w:p w14:paraId="63B16C63" w14:textId="77777777" w:rsidR="005D314E" w:rsidRPr="00576C3D" w:rsidRDefault="005D314E" w:rsidP="00576C3D">
      <w:pPr>
        <w:pStyle w:val="Listeavsnitt2"/>
      </w:pPr>
      <w:r w:rsidRPr="00576C3D">
        <w:t>[beløp som skal dekkes av EFTA-statene]</w:t>
      </w:r>
    </w:p>
    <w:p w14:paraId="28980894" w14:textId="77777777" w:rsidR="005D314E" w:rsidRPr="00576C3D" w:rsidRDefault="005D314E" w:rsidP="00576C3D">
      <w:pPr>
        <w:pStyle w:val="friliste2"/>
      </w:pPr>
      <w:r w:rsidRPr="00576C3D">
        <w:t>d)</w:t>
      </w:r>
      <w:r w:rsidRPr="00576C3D">
        <w:tab/>
        <w:t>Island og Norge samtykker i å dekke en andel på 0,125 % for Island og 0,5 % for Norge, fra og med 2027, av driftskostnadene til systemene nevnt under bokstav a), med en årlig indeksregulering på 2 %. For UUM&amp;DS, CRS og tilpasningene av CBAM-registeret skal driftskostnadene dekkes fra og med 2026.</w:t>
      </w:r>
    </w:p>
    <w:p w14:paraId="6B8DE94F" w14:textId="77777777" w:rsidR="005D314E" w:rsidRPr="00576C3D" w:rsidRDefault="005D314E" w:rsidP="00576C3D">
      <w:pPr>
        <w:pStyle w:val="friliste2"/>
      </w:pPr>
      <w:r w:rsidRPr="00576C3D">
        <w:t>e)</w:t>
      </w:r>
      <w:r w:rsidRPr="00576C3D">
        <w:tab/>
        <w:t>Kommisjonen skal beregne kostnadene i henhold til sine kontrakter med leverandører inngått i henhold til gjeldende prosedyrer for kontraktstildeling.</w:t>
      </w:r>
    </w:p>
    <w:p w14:paraId="3E3C69D8" w14:textId="77777777" w:rsidR="005D314E" w:rsidRPr="00576C3D" w:rsidRDefault="005D314E" w:rsidP="00576C3D">
      <w:pPr>
        <w:pStyle w:val="friliste2"/>
      </w:pPr>
      <w:r w:rsidRPr="00576C3D">
        <w:t>f)</w:t>
      </w:r>
      <w:r w:rsidRPr="00576C3D">
        <w:tab/>
        <w:t>Kostnadene nevnt i bokstav d) vil bli vurdert på nytt i 2028.</w:t>
      </w:r>
    </w:p>
    <w:p w14:paraId="2EB55DE9" w14:textId="77777777" w:rsidR="005D314E" w:rsidRPr="00576C3D" w:rsidRDefault="005D314E" w:rsidP="00576C3D">
      <w:pPr>
        <w:pStyle w:val="friliste2"/>
      </w:pPr>
      <w:r w:rsidRPr="00576C3D">
        <w:t>g)</w:t>
      </w:r>
      <w:r w:rsidRPr="00576C3D">
        <w:tab/>
        <w:t>Utviklings- og driftskostnadene for nasjonale komponenter skal i sin helhet bæres av Island og Norge.</w:t>
      </w:r>
    </w:p>
    <w:p w14:paraId="7EE07055" w14:textId="77777777" w:rsidR="005D314E" w:rsidRPr="00576C3D" w:rsidRDefault="005D314E" w:rsidP="00576C3D">
      <w:pPr>
        <w:pStyle w:val="friliste2"/>
      </w:pPr>
      <w:r w:rsidRPr="00576C3D">
        <w:t>h)</w:t>
      </w:r>
      <w:r w:rsidRPr="00576C3D">
        <w:tab/>
        <w:t>Fra og med 15. juli 2026 og innen 15. juli hvert år vil Kommisjonen be Island og Norge om å betale engangskostnadene for utviklingen av tilpasningene av CBAM-registerkomponenter som er nødvendige for EFTA-statene, og for utviklingen av nødvendige applikasjoner, tjenester, kommunikasjonssystemer og underliggende tollsystemer, som nevnt i bokstav b), på grunnlag av en behørig dokumentert debetnota utstedt av Kommisjonen.</w:t>
      </w:r>
    </w:p>
    <w:p w14:paraId="03427208" w14:textId="77777777" w:rsidR="005D314E" w:rsidRPr="00576C3D" w:rsidRDefault="005D314E" w:rsidP="00576C3D">
      <w:pPr>
        <w:pStyle w:val="friliste2"/>
      </w:pPr>
      <w:r w:rsidRPr="00576C3D">
        <w:t>i)</w:t>
      </w:r>
      <w:r w:rsidRPr="00576C3D">
        <w:tab/>
        <w:t>Island og Norge samtykker i å ta del i driftskostnadene for applikasjonene og tjenestene og de underliggende tollsystemene som er sammenkoblet med driften av CBAM-registeret, slik som UUM&amp;DS, CCN2ng-mellomvare, CRS og analyseverktøy (Datalab). For dette formålet gjelder følgende:</w:t>
      </w:r>
    </w:p>
    <w:p w14:paraId="271D47D8" w14:textId="77777777" w:rsidR="005D314E" w:rsidRPr="00576C3D" w:rsidRDefault="005D314E" w:rsidP="00576C3D">
      <w:pPr>
        <w:pStyle w:val="friliste3"/>
      </w:pPr>
      <w:r w:rsidRPr="00576C3D">
        <w:t>1)</w:t>
      </w:r>
      <w:r w:rsidRPr="00576C3D">
        <w:tab/>
        <w:t>Fra og med 31. juli 2026 og innen 31. juli hvert år vil Kommisjonen underrette Island og Norge om de anslåtte driftskostnadene for det aktuelle året og underrette Island og Norge skriftlig om det anslåtte beløpet for nødvendige bidrag for det påfølgende året.</w:t>
      </w:r>
    </w:p>
    <w:p w14:paraId="2959E005" w14:textId="77777777" w:rsidR="005D314E" w:rsidRPr="00576C3D" w:rsidRDefault="005D314E" w:rsidP="00576C3D">
      <w:pPr>
        <w:pStyle w:val="friliste3"/>
      </w:pPr>
      <w:r w:rsidRPr="00576C3D">
        <w:t>2)</w:t>
      </w:r>
      <w:r w:rsidRPr="00576C3D">
        <w:tab/>
        <w:t>Innen 15. juli 2027 vil Kommisjonen be Island og Norge om å betale sitt respektive årlige bidrag til driftskostnadene for året 2026, samt det anslåtte årlige bidraget for 2027. Fra og med 15. juli 2028 og innen 15. juli hvert år vil Kommisjonen be Island og Norge om å betale sitt årlige bidrag for det aktuelle året pluss balansen (negativ eller positiv) for foregående år på grunnlag av en behørig dokumentert debetnota utstedt av Kommisjonen.</w:t>
      </w:r>
    </w:p>
    <w:p w14:paraId="77F3F349" w14:textId="77777777" w:rsidR="005D314E" w:rsidRPr="00576C3D" w:rsidRDefault="005D314E" w:rsidP="00576C3D">
      <w:pPr>
        <w:pStyle w:val="friliste3"/>
      </w:pPr>
      <w:r w:rsidRPr="00576C3D">
        <w:t>3)</w:t>
      </w:r>
      <w:r w:rsidRPr="00576C3D">
        <w:tab/>
        <w:t>Fra og med 31. januar 2028 og innen 31. januar hvert år vil Kommisjonen</w:t>
      </w:r>
    </w:p>
    <w:p w14:paraId="64C91EB2" w14:textId="77777777" w:rsidR="005D314E" w:rsidRPr="00576C3D" w:rsidRDefault="005D314E" w:rsidP="00576C3D">
      <w:pPr>
        <w:pStyle w:val="friliste4"/>
      </w:pPr>
      <w:r w:rsidRPr="00576C3D">
        <w:t>–</w:t>
      </w:r>
      <w:r w:rsidRPr="00576C3D">
        <w:tab/>
        <w:t>gjøre opp regnskapet knyttet til de forrige årlige driftskostnadene på grunnlag av summen som Island og Norge allerede har betalt, mot de faktiske kostnadene som Kommisjonen har pådratt seg, og gi Island og Norge et kontoutdrag med en spesifikasjon av kostnadene for de forskjellige tjenestene og leveringen av programvare, og</w:t>
      </w:r>
    </w:p>
    <w:p w14:paraId="12AB7127" w14:textId="77777777" w:rsidR="005D314E" w:rsidRPr="00576C3D" w:rsidRDefault="005D314E" w:rsidP="00576C3D">
      <w:pPr>
        <w:pStyle w:val="friliste4"/>
      </w:pPr>
      <w:r w:rsidRPr="00576C3D">
        <w:t>–</w:t>
      </w:r>
      <w:r w:rsidRPr="00576C3D">
        <w:tab/>
        <w:t>gi Island og Norge opplysninger om de faktiske årlige kostnadene, dvs. faktiske driftskostnader, for foregående år. Kommisjonen skal beregne de faktiske og anslåtte kostnadene i henhold til sine kontrakter med leverandører inngått i henhold til gjeldende prosedyrer for kontraktstildeling. Balansen (negativ eller positiv) mellom de faktiske kostnadene og det anslåtte beløpet for foregående år vil bli beregnet og sendt til Island og Norge i form av et kontoutdrag fra Kommisjonen. Kontoutdraget skal inneholde det anslåtte årlige bidraget, pluss balansen (negativ eller positiv), som resulterer i et nettobeløp som Kommisjonen skal fakturere Island og Norge via den årlige debetnotaen.</w:t>
      </w:r>
    </w:p>
    <w:p w14:paraId="56209A84" w14:textId="77777777" w:rsidR="005D314E" w:rsidRPr="00576C3D" w:rsidRDefault="005D314E" w:rsidP="00576C3D">
      <w:pPr>
        <w:pStyle w:val="friliste2"/>
      </w:pPr>
      <w:r w:rsidRPr="00576C3D">
        <w:t>j)</w:t>
      </w:r>
      <w:r w:rsidRPr="00576C3D">
        <w:tab/>
        <w:t>Island og Norge skal betale beløpet etter debetnotaens utstedelsesdato. All betaling skal skje innen 60 dager til Kommisjonens bankkonto angitt i debetnotaen.</w:t>
      </w:r>
    </w:p>
    <w:p w14:paraId="3BD4A061" w14:textId="77777777" w:rsidR="005D314E" w:rsidRPr="00576C3D" w:rsidRDefault="005D314E" w:rsidP="00576C3D">
      <w:pPr>
        <w:pStyle w:val="friliste2"/>
      </w:pPr>
      <w:r w:rsidRPr="00576C3D">
        <w:t>k)</w:t>
      </w:r>
      <w:r w:rsidRPr="00576C3D">
        <w:tab/>
        <w:t xml:space="preserve">Dersom Island og Norge betaler beløpene fastsatt i bokstav d) og i) senere enn datoene angitt i bokstav j), kan Kommisjonen ilegge renter på det ubetalte beløpet (til rentesatsen i euro som Den europeiske sentralbank anvender på sin virksomhet, offentliggjort i «C»-serien av </w:t>
      </w:r>
      <w:r w:rsidRPr="00576C3D">
        <w:rPr>
          <w:rStyle w:val="kursiv"/>
        </w:rPr>
        <w:t>Den europeiske unions tidende</w:t>
      </w:r>
      <w:r w:rsidRPr="00576C3D">
        <w:t>, på den dagen fristen for tilbakebetaling utløper, pluss et og et halvt poeng). Den samme rentesatsen gjelder for betalinger som Unionen skal foreta.</w:t>
      </w:r>
    </w:p>
    <w:p w14:paraId="67198EB0" w14:textId="77777777" w:rsidR="005D314E" w:rsidRPr="00576C3D" w:rsidRDefault="005D314E" w:rsidP="00576C3D">
      <w:pPr>
        <w:pStyle w:val="friliste2"/>
      </w:pPr>
      <w:r w:rsidRPr="00576C3D">
        <w:t>l)</w:t>
      </w:r>
      <w:r w:rsidRPr="00576C3D">
        <w:tab/>
        <w:t>Dersom Island og Norge ber om spesifikke tilpasninger av eller nye IT-produkter for CBAM-registerkomponentene, applikasjonene eller tjenestene, skal igangsetting og ferdigstilling av slikt utviklingsarbeid omfattes av en separat gjensidig avtale om ressursbehov og utviklingskostnader.</w:t>
      </w:r>
    </w:p>
    <w:p w14:paraId="5A83F3E4" w14:textId="77777777" w:rsidR="005D314E" w:rsidRPr="00576C3D" w:rsidRDefault="005D314E" w:rsidP="00576C3D">
      <w:pPr>
        <w:pStyle w:val="friliste2"/>
      </w:pPr>
      <w:r w:rsidRPr="00576C3D">
        <w:t>m)</w:t>
      </w:r>
      <w:r w:rsidRPr="00576C3D">
        <w:tab/>
        <w:t>Avtalepartene samtykker i å anerkjenne og oppfylle sitt respektive ansvar i forbindelse med bruken av IT-systemene som beskrevet i dette vedlegg.»</w:t>
      </w:r>
    </w:p>
    <w:p w14:paraId="133058A2" w14:textId="77777777" w:rsidR="005D314E" w:rsidRPr="00576C3D" w:rsidRDefault="005D314E" w:rsidP="00576C3D">
      <w:pPr>
        <w:pStyle w:val="avsnitt-undertittel"/>
      </w:pPr>
      <w:r w:rsidRPr="00576C3D">
        <w:t>Artikkel 2</w:t>
      </w:r>
    </w:p>
    <w:p w14:paraId="40C4FA6B" w14:textId="77777777" w:rsidR="005D314E" w:rsidRPr="00576C3D" w:rsidRDefault="005D314E" w:rsidP="00576C3D">
      <w:r w:rsidRPr="00576C3D">
        <w:t>I EØS-avtalens protokoll 31 artikkel 7, etter nr. 16 (europaparlaments- og rådsforordning (EU) 2023/2418), skal nytt nummer lyde:</w:t>
      </w:r>
    </w:p>
    <w:p w14:paraId="5FC7C438" w14:textId="77777777" w:rsidR="005D314E" w:rsidRPr="00576C3D" w:rsidRDefault="005D314E" w:rsidP="00576C3D">
      <w:pPr>
        <w:pStyle w:val="friliste"/>
      </w:pPr>
      <w:r w:rsidRPr="00576C3D">
        <w:t>«17.</w:t>
      </w:r>
      <w:r w:rsidRPr="00576C3D">
        <w:tab/>
        <w:t xml:space="preserve"> EFTA-statene skal fra 1. januar 2025 delta i unions tiltakene knyttet til følgende budsjettpost oppført i Den europeiske unions alminnelige budsjett for regnskapsårene 2025, 2026 og 2027:</w:t>
      </w:r>
    </w:p>
    <w:p w14:paraId="0DBF8106" w14:textId="77777777" w:rsidR="005D314E" w:rsidRPr="00576C3D" w:rsidRDefault="005D314E" w:rsidP="00576C3D">
      <w:pPr>
        <w:pStyle w:val="friliste2"/>
      </w:pPr>
      <w:r w:rsidRPr="00576C3D">
        <w:t>–</w:t>
      </w:r>
      <w:r w:rsidRPr="00576C3D">
        <w:tab/>
      </w:r>
      <w:r w:rsidRPr="00576C3D">
        <w:rPr>
          <w:rStyle w:val="halvfet0"/>
        </w:rPr>
        <w:t xml:space="preserve">Budsjettpost 9.20.04.01: </w:t>
      </w:r>
      <w:r w:rsidRPr="00576C3D">
        <w:t>‘Karbongrensejusteringsmekanisme’.</w:t>
      </w:r>
    </w:p>
    <w:p w14:paraId="06C56D25" w14:textId="77777777" w:rsidR="005D314E" w:rsidRPr="00576C3D" w:rsidRDefault="005D314E" w:rsidP="00576C3D">
      <w:pPr>
        <w:pStyle w:val="Listeavsnitt"/>
      </w:pPr>
      <w:r w:rsidRPr="00576C3D">
        <w:t xml:space="preserve">Dette nummer får ikke </w:t>
      </w:r>
      <w:proofErr w:type="gramStart"/>
      <w:r w:rsidRPr="00576C3D">
        <w:t>anvendelse</w:t>
      </w:r>
      <w:proofErr w:type="gramEnd"/>
      <w:r w:rsidRPr="00576C3D">
        <w:t xml:space="preserve"> for Liechtenstein.»</w:t>
      </w:r>
    </w:p>
    <w:p w14:paraId="5EF8CD20" w14:textId="77777777" w:rsidR="005D314E" w:rsidRPr="00576C3D" w:rsidRDefault="005D314E" w:rsidP="00576C3D">
      <w:pPr>
        <w:pStyle w:val="avsnitt-undertittel"/>
      </w:pPr>
      <w:r w:rsidRPr="00576C3D">
        <w:t>Artikkel 3</w:t>
      </w:r>
    </w:p>
    <w:p w14:paraId="09E236AB" w14:textId="77777777" w:rsidR="005D314E" w:rsidRPr="00576C3D" w:rsidRDefault="005D314E" w:rsidP="00576C3D">
      <w:r w:rsidRPr="00576C3D">
        <w:t>Denne beslutning trer i kraft dagen etter at alle meddelelser etter EØS-avtalens artikkel 103 nr. 1 er inngitt*.</w:t>
      </w:r>
    </w:p>
    <w:p w14:paraId="46580321" w14:textId="77777777" w:rsidR="005D314E" w:rsidRPr="00576C3D" w:rsidRDefault="005D314E" w:rsidP="00576C3D">
      <w:pPr>
        <w:pStyle w:val="Petit"/>
      </w:pPr>
      <w:r w:rsidRPr="00576C3D">
        <w:t>* [Ingen forfatningsrettslige krav angitt.] [Forfatningsrettslige krav angitt.]</w:t>
      </w:r>
    </w:p>
    <w:p w14:paraId="397CEDFE" w14:textId="77777777" w:rsidR="005D314E" w:rsidRPr="00576C3D" w:rsidRDefault="005D314E" w:rsidP="00576C3D">
      <w:r w:rsidRPr="00576C3D">
        <w:t xml:space="preserve">[Den får </w:t>
      </w:r>
      <w:proofErr w:type="gramStart"/>
      <w:r w:rsidRPr="00576C3D">
        <w:t>anvendelse</w:t>
      </w:r>
      <w:proofErr w:type="gramEnd"/>
      <w:r w:rsidRPr="00576C3D">
        <w:t xml:space="preserve"> fra 1. januar [år].]</w:t>
      </w:r>
    </w:p>
    <w:p w14:paraId="08C2FD6C" w14:textId="77777777" w:rsidR="005D314E" w:rsidRPr="00576C3D" w:rsidRDefault="005D314E" w:rsidP="00576C3D">
      <w:pPr>
        <w:pStyle w:val="avsnitt-undertittel"/>
      </w:pPr>
      <w:r w:rsidRPr="00576C3D">
        <w:t>Artikkel 4</w:t>
      </w:r>
    </w:p>
    <w:p w14:paraId="3B80CB09" w14:textId="77777777" w:rsidR="005D314E" w:rsidRPr="00576C3D" w:rsidRDefault="005D314E" w:rsidP="00576C3D">
      <w:r w:rsidRPr="00576C3D">
        <w:t xml:space="preserve">Denne beslutning skal kunngjøres i EØS-avdelingen av og EØS-tillegget til </w:t>
      </w:r>
      <w:r w:rsidRPr="00576C3D">
        <w:rPr>
          <w:rStyle w:val="kursiv"/>
        </w:rPr>
        <w:t>Den europeiske unions tidende.</w:t>
      </w:r>
    </w:p>
    <w:p w14:paraId="56F9F7F4" w14:textId="77777777" w:rsidR="005D314E" w:rsidRPr="00576C3D" w:rsidRDefault="005D314E" w:rsidP="00576C3D">
      <w:r w:rsidRPr="00576C3D">
        <w:t>Utferdiget i Brussel […]</w:t>
      </w:r>
    </w:p>
    <w:p w14:paraId="4EAA23C1" w14:textId="77777777" w:rsidR="005D314E" w:rsidRPr="00576C3D" w:rsidRDefault="005D314E" w:rsidP="00576C3D">
      <w:pPr>
        <w:rPr>
          <w:rStyle w:val="kursiv"/>
        </w:rPr>
      </w:pPr>
      <w:r w:rsidRPr="00576C3D">
        <w:rPr>
          <w:rStyle w:val="kursiv"/>
        </w:rPr>
        <w:t>For EØS-komiteen</w:t>
      </w:r>
    </w:p>
    <w:p w14:paraId="702A9454" w14:textId="77777777" w:rsidR="005D314E" w:rsidRPr="00576C3D" w:rsidRDefault="005D314E" w:rsidP="00576C3D">
      <w:pPr>
        <w:rPr>
          <w:rStyle w:val="kursiv"/>
        </w:rPr>
      </w:pPr>
      <w:r w:rsidRPr="00576C3D">
        <w:rPr>
          <w:rStyle w:val="kursiv"/>
        </w:rPr>
        <w:t>Formann</w:t>
      </w:r>
    </w:p>
    <w:p w14:paraId="2C8945F7" w14:textId="77777777" w:rsidR="005D314E" w:rsidRPr="00576C3D" w:rsidRDefault="005D314E" w:rsidP="00576C3D">
      <w:pPr>
        <w:rPr>
          <w:rStyle w:val="kursiv"/>
        </w:rPr>
      </w:pPr>
      <w:r w:rsidRPr="00576C3D">
        <w:rPr>
          <w:rStyle w:val="kursiv"/>
        </w:rPr>
        <w:t>[…]</w:t>
      </w:r>
    </w:p>
    <w:p w14:paraId="294DDA7E" w14:textId="77777777" w:rsidR="005D314E" w:rsidRPr="00576C3D" w:rsidRDefault="005D314E" w:rsidP="00576C3D">
      <w:pPr>
        <w:rPr>
          <w:rStyle w:val="kursiv"/>
        </w:rPr>
      </w:pPr>
      <w:r w:rsidRPr="00576C3D">
        <w:rPr>
          <w:rStyle w:val="kursiv"/>
        </w:rPr>
        <w:t>EØS-komiteens</w:t>
      </w:r>
    </w:p>
    <w:p w14:paraId="2AC3CB5F" w14:textId="77777777" w:rsidR="005D314E" w:rsidRPr="00576C3D" w:rsidRDefault="005D314E" w:rsidP="00576C3D">
      <w:pPr>
        <w:rPr>
          <w:rStyle w:val="kursiv"/>
        </w:rPr>
      </w:pPr>
      <w:r w:rsidRPr="00576C3D">
        <w:rPr>
          <w:rStyle w:val="kursiv"/>
        </w:rPr>
        <w:t>sekretærer</w:t>
      </w:r>
    </w:p>
    <w:p w14:paraId="0ECF5B01" w14:textId="5FC7E63E" w:rsidR="005D314E" w:rsidRPr="007C7530" w:rsidRDefault="005D314E" w:rsidP="00576C3D">
      <w:pPr>
        <w:rPr>
          <w:i/>
        </w:rPr>
      </w:pPr>
      <w:r w:rsidRPr="00576C3D">
        <w:rPr>
          <w:rStyle w:val="kursiv"/>
        </w:rPr>
        <w:t>[…]</w:t>
      </w:r>
      <w:r w:rsidR="00BC726C">
        <w:rPr>
          <w:rStyle w:val="kursiv"/>
          <w:noProof/>
        </w:rPr>
        <w:drawing>
          <wp:inline distT="0" distB="0" distL="0" distR="0" wp14:anchorId="7B76DC5A" wp14:editId="47173137">
            <wp:extent cx="6076950" cy="2438400"/>
            <wp:effectExtent l="0" t="0" r="0" b="0"/>
            <wp:docPr id="780694848"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438400"/>
                    </a:xfrm>
                    <a:prstGeom prst="rect">
                      <a:avLst/>
                    </a:prstGeom>
                    <a:noFill/>
                    <a:ln>
                      <a:noFill/>
                    </a:ln>
                  </pic:spPr>
                </pic:pic>
              </a:graphicData>
            </a:graphic>
          </wp:inline>
        </w:drawing>
      </w:r>
    </w:p>
    <w:sectPr w:rsidR="005D314E" w:rsidRPr="007C753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FED92" w14:textId="77777777" w:rsidR="00BD15C7" w:rsidRDefault="00BD15C7">
      <w:pPr>
        <w:spacing w:after="0" w:line="240" w:lineRule="auto"/>
      </w:pPr>
      <w:r>
        <w:separator/>
      </w:r>
    </w:p>
  </w:endnote>
  <w:endnote w:type="continuationSeparator" w:id="0">
    <w:p w14:paraId="5B3053C6" w14:textId="77777777" w:rsidR="00BD15C7" w:rsidRDefault="00BD1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703030403020204"/>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91ABA" w14:textId="77777777" w:rsidR="00BD15C7" w:rsidRDefault="00BD15C7">
      <w:pPr>
        <w:spacing w:after="0" w:line="240" w:lineRule="auto"/>
      </w:pPr>
      <w:r>
        <w:separator/>
      </w:r>
    </w:p>
  </w:footnote>
  <w:footnote w:type="continuationSeparator" w:id="0">
    <w:p w14:paraId="5DB41F41" w14:textId="77777777" w:rsidR="00BD15C7" w:rsidRDefault="00BD15C7">
      <w:pPr>
        <w:spacing w:after="0" w:line="240" w:lineRule="auto"/>
      </w:pPr>
      <w:r>
        <w:continuationSeparator/>
      </w:r>
    </w:p>
  </w:footnote>
  <w:footnote w:id="1">
    <w:p w14:paraId="494DF3F8" w14:textId="43355B8D" w:rsidR="005D314E" w:rsidRDefault="005D314E">
      <w:pPr>
        <w:pStyle w:val="Fotnotetekst"/>
      </w:pPr>
      <w:r>
        <w:rPr>
          <w:vertAlign w:val="superscript"/>
        </w:rPr>
        <w:footnoteRef/>
      </w:r>
      <w:r w:rsidRPr="00576C3D">
        <w:t>EUT C 152 av 6.4.2022, s. 181.</w:t>
      </w:r>
    </w:p>
  </w:footnote>
  <w:footnote w:id="2">
    <w:p w14:paraId="508DE2D0" w14:textId="71060AF5" w:rsidR="005D314E" w:rsidRDefault="005D314E">
      <w:pPr>
        <w:pStyle w:val="Fotnotetekst"/>
      </w:pPr>
      <w:r>
        <w:rPr>
          <w:vertAlign w:val="superscript"/>
        </w:rPr>
        <w:footnoteRef/>
      </w:r>
      <w:r w:rsidRPr="00576C3D">
        <w:t>EUT C 301 av 5.8.2022, s. 116.</w:t>
      </w:r>
    </w:p>
  </w:footnote>
  <w:footnote w:id="3">
    <w:p w14:paraId="237F7CE8" w14:textId="0FDF57F0" w:rsidR="005D314E" w:rsidRDefault="005D314E">
      <w:pPr>
        <w:pStyle w:val="Fotnotetekst"/>
      </w:pPr>
      <w:r>
        <w:rPr>
          <w:vertAlign w:val="superscript"/>
        </w:rPr>
        <w:footnoteRef/>
      </w:r>
      <w:r w:rsidRPr="00576C3D">
        <w:t>Europaparlamentets holdning av 18. april 2023 (ennå ikke offentliggjort i EUT) og rådsbeslutning av 25. april 2023.</w:t>
      </w:r>
    </w:p>
  </w:footnote>
  <w:footnote w:id="4">
    <w:p w14:paraId="0B401DED" w14:textId="063D3A47" w:rsidR="005D314E" w:rsidRDefault="005D314E">
      <w:pPr>
        <w:pStyle w:val="Fotnotetekst"/>
      </w:pPr>
      <w:r>
        <w:rPr>
          <w:vertAlign w:val="superscript"/>
        </w:rPr>
        <w:footnoteRef/>
      </w:r>
      <w:r w:rsidRPr="00576C3D">
        <w:t>EUT L 282 av 19.10.2016, s. 4.</w:t>
      </w:r>
    </w:p>
  </w:footnote>
  <w:footnote w:id="5">
    <w:p w14:paraId="6FE72C36" w14:textId="75F17016" w:rsidR="005D314E" w:rsidRDefault="005D314E">
      <w:pPr>
        <w:pStyle w:val="Fotnotetekst"/>
      </w:pPr>
      <w:r>
        <w:rPr>
          <w:vertAlign w:val="superscript"/>
        </w:rPr>
        <w:footnoteRef/>
      </w:r>
      <w:r w:rsidRPr="00576C3D">
        <w:tab/>
        <w:t xml:space="preserve">Europaparlaments- og rådsforordning (EU) 2021/1119 av 30. juni 2021 om fastsettelse av en ramme for å oppnå klimanøytralitet og om endring av forordning (EF) nr. 401/2009 og (EU) 2018/1999 («EUs </w:t>
      </w:r>
      <w:proofErr w:type="spellStart"/>
      <w:r w:rsidRPr="00576C3D">
        <w:t>klimalov</w:t>
      </w:r>
      <w:proofErr w:type="spellEnd"/>
      <w:r w:rsidRPr="00576C3D">
        <w:t>») (EUT L 243 av 9.7.2021, s. 1).</w:t>
      </w:r>
    </w:p>
  </w:footnote>
  <w:footnote w:id="6">
    <w:p w14:paraId="6E967889" w14:textId="4A65E1F8" w:rsidR="005D314E" w:rsidRDefault="005D314E">
      <w:pPr>
        <w:pStyle w:val="Fotnotetekst"/>
      </w:pPr>
      <w:r>
        <w:rPr>
          <w:vertAlign w:val="superscript"/>
        </w:rPr>
        <w:footnoteRef/>
      </w:r>
      <w:r w:rsidRPr="00576C3D">
        <w:tab/>
        <w:t>Europaparlaments- og rådsdirektiv 2003/87/EF av 13. oktober 2003 om opprettelse av en ordning for handel med utslippskvoter for klimagasser i Unionen og om endring av rådsdirektiv 96/61/EF (EUT L 275 av 25.10.2003, s. 32).</w:t>
      </w:r>
    </w:p>
  </w:footnote>
  <w:footnote w:id="7">
    <w:p w14:paraId="5FB3ECD5" w14:textId="419AC92D" w:rsidR="005D314E" w:rsidRDefault="005D314E">
      <w:pPr>
        <w:pStyle w:val="Fotnotetekst"/>
      </w:pPr>
      <w:r>
        <w:rPr>
          <w:vertAlign w:val="superscript"/>
        </w:rPr>
        <w:footnoteRef/>
      </w:r>
      <w:r w:rsidRPr="00576C3D">
        <w:tab/>
        <w:t>Europaparlaments- og rådsforordning (EU) 2018/842 av 30. mai 2018 om medlemsstatenes bindende årlige reduksjoner av klimagassutslipp i tidsrommet 2021–2030 som bidrag til klimatiltak for å oppfylle forpliktelsene i henhold til Paris-avtalen, og om endring av forordning (EU) nr. 525/2013 (EUT L 156 av 19.6.2018, s. 26).</w:t>
      </w:r>
    </w:p>
  </w:footnote>
  <w:footnote w:id="8">
    <w:p w14:paraId="2CE63537" w14:textId="6A249445" w:rsidR="005D314E" w:rsidRDefault="005D314E">
      <w:pPr>
        <w:pStyle w:val="Fotnotetekst"/>
      </w:pPr>
      <w:r>
        <w:rPr>
          <w:vertAlign w:val="superscript"/>
        </w:rPr>
        <w:footnoteRef/>
      </w:r>
      <w:r w:rsidRPr="00576C3D">
        <w:tab/>
        <w:t>Europaparlaments- og rådsforordning (EU) 2018/841 av 30. mai 2018 om tilføyelse av utslipp og opptak av klimagasser fra arealbruk, arealbruksendring og skogbruk i klima- og energirammen for 2030, og om endring av forordning (EU) nr. 525/2013 og beslutning nr. 529/2013/EU (EUT L 156 av 19.6.2018, s. 1).</w:t>
      </w:r>
    </w:p>
  </w:footnote>
  <w:footnote w:id="9">
    <w:p w14:paraId="530F2E3F" w14:textId="1858FB80" w:rsidR="005D314E" w:rsidRDefault="005D314E">
      <w:pPr>
        <w:pStyle w:val="Fotnotetekst"/>
      </w:pPr>
      <w:r>
        <w:rPr>
          <w:vertAlign w:val="superscript"/>
        </w:rPr>
        <w:footnoteRef/>
      </w:r>
      <w:r w:rsidRPr="00576C3D">
        <w:tab/>
        <w:t>Rådsforordning (EØF) nr. 2658/87 av 23. juli 1987 om toll- og statistikknomenklaturen og om den felles tolltariff (EFT L 256 av 7.9.1987, s. 1).</w:t>
      </w:r>
    </w:p>
  </w:footnote>
  <w:footnote w:id="10">
    <w:p w14:paraId="003B4471" w14:textId="28B52E93" w:rsidR="005D314E" w:rsidRDefault="005D314E">
      <w:pPr>
        <w:pStyle w:val="Fotnotetekst"/>
      </w:pPr>
      <w:r>
        <w:rPr>
          <w:vertAlign w:val="superscript"/>
        </w:rPr>
        <w:footnoteRef/>
      </w:r>
      <w:r w:rsidRPr="00576C3D">
        <w:tab/>
        <w:t>Delegert kommisjonsbeslutning (EU) 2019/708 av 15. februar 2019 om utfylling av europaparlaments- og rådsdirektiv 2003/87/EF med hensyn til fastsettelse av sektorer og delsektorer som anses for å være utsatt for risiko for karbonlekkasje, for perioden 2021–2030 (EUT L 120 av 8.5.2019, s. 20).</w:t>
      </w:r>
    </w:p>
  </w:footnote>
  <w:footnote w:id="11">
    <w:p w14:paraId="08B59350" w14:textId="49C88568" w:rsidR="005D314E" w:rsidRDefault="005D314E">
      <w:pPr>
        <w:pStyle w:val="Fotnotetekst"/>
      </w:pPr>
      <w:r>
        <w:rPr>
          <w:vertAlign w:val="superscript"/>
        </w:rPr>
        <w:footnoteRef/>
      </w:r>
      <w:r w:rsidRPr="00576C3D">
        <w:tab/>
        <w:t>Europaparlaments- og rådsforordning (EU) nr. 952/2013 av 9. oktober 2013 om fastsettelse av Unionens tollkodeks (EUT L 269 av 10.10.2013, s. 1).</w:t>
      </w:r>
    </w:p>
  </w:footnote>
  <w:footnote w:id="12">
    <w:p w14:paraId="2DDDDFFB" w14:textId="2CB2D5FA" w:rsidR="005D314E" w:rsidRDefault="005D314E">
      <w:pPr>
        <w:pStyle w:val="Fotnotetekst"/>
      </w:pPr>
      <w:r>
        <w:rPr>
          <w:vertAlign w:val="superscript"/>
        </w:rPr>
        <w:footnoteRef/>
      </w:r>
      <w:r w:rsidRPr="00576C3D">
        <w:tab/>
        <w:t>Europaparlaments- og rådsforordning (EF) nr. 765/2008 av 9. juli 2008 om fastsettelse av kravene til akkreditering og om oppheving av forordning (EØF) nr. 339/93 (EUT L 218 av 13.8.2008, s. 30).</w:t>
      </w:r>
    </w:p>
  </w:footnote>
  <w:footnote w:id="13">
    <w:p w14:paraId="27C7F930" w14:textId="63C7A093" w:rsidR="005D314E" w:rsidRDefault="005D314E">
      <w:pPr>
        <w:pStyle w:val="Fotnotetekst"/>
      </w:pPr>
      <w:r>
        <w:rPr>
          <w:vertAlign w:val="superscript"/>
        </w:rPr>
        <w:footnoteRef/>
      </w:r>
      <w:r w:rsidRPr="00576C3D">
        <w:tab/>
        <w:t>Kommisjonens gjennomføringsforordning (EU) 2018/2067 av 19. desember 2018 om verifisering av data og akkreditering av miljøkontrollører i samsvar med europaparlaments- og rådsdirektiv 2003/87/EF (EUT L 334 av 31.12.2018, s. 94).</w:t>
      </w:r>
    </w:p>
  </w:footnote>
  <w:footnote w:id="14">
    <w:p w14:paraId="0CD9A382" w14:textId="7C680F8D" w:rsidR="005D314E" w:rsidRDefault="005D314E">
      <w:pPr>
        <w:pStyle w:val="Fotnotetekst"/>
      </w:pPr>
      <w:r>
        <w:rPr>
          <w:vertAlign w:val="superscript"/>
        </w:rPr>
        <w:footnoteRef/>
      </w:r>
      <w:r w:rsidRPr="00576C3D">
        <w:tab/>
        <w:t>Rådsbeslutning 2006/500/EF av 29. mai 2006 om Det europeiske fellesskaps inngåelse av traktaten om energifellesskapet (EUT L 198 av 20.7.2006, s. 15).</w:t>
      </w:r>
    </w:p>
  </w:footnote>
  <w:footnote w:id="15">
    <w:p w14:paraId="1F37ACCE" w14:textId="3F29807F" w:rsidR="005D314E" w:rsidRDefault="005D314E">
      <w:pPr>
        <w:pStyle w:val="Fotnotetekst"/>
      </w:pPr>
      <w:r>
        <w:rPr>
          <w:vertAlign w:val="superscript"/>
        </w:rPr>
        <w:footnoteRef/>
      </w:r>
      <w:r w:rsidRPr="00576C3D">
        <w:tab/>
        <w:t>Kommisjonsforordning (EU) 2015/1222 av 24. juli 2015 om fastsettelse av retningslinjer for kapasitetstildeling og flaskehalshåndtering (EUT L 197 av 25.7.2015, s. 24).</w:t>
      </w:r>
    </w:p>
  </w:footnote>
  <w:footnote w:id="16">
    <w:p w14:paraId="6416D00A" w14:textId="36334DBF" w:rsidR="005D314E" w:rsidRDefault="005D314E" w:rsidP="00576C3D">
      <w:pPr>
        <w:pStyle w:val="Fotnotetekst"/>
      </w:pPr>
      <w:r>
        <w:rPr>
          <w:vertAlign w:val="superscript"/>
        </w:rPr>
        <w:footnoteRef/>
      </w:r>
      <w:r w:rsidRPr="00576C3D">
        <w:tab/>
        <w:t>Kommisjonsrekommandasjon 2013/179/EU av 9. april 2013 om bruk av felles metoder for å måle og formidle opplysninger om produkters og organisasjoners miljøprestasjon over hele deres livssyklus (EUT L 124 av 4.5.2013, s. 1).</w:t>
      </w:r>
    </w:p>
  </w:footnote>
  <w:footnote w:id="17">
    <w:p w14:paraId="329F239B" w14:textId="693A6868" w:rsidR="005D314E" w:rsidRDefault="005D314E">
      <w:pPr>
        <w:pStyle w:val="Fotnotetekst"/>
      </w:pPr>
      <w:r>
        <w:rPr>
          <w:vertAlign w:val="superscript"/>
        </w:rPr>
        <w:footnoteRef/>
      </w:r>
      <w:r w:rsidRPr="00576C3D">
        <w:tab/>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18">
    <w:p w14:paraId="2A9EC619" w14:textId="00C45DB0" w:rsidR="005D314E" w:rsidRDefault="005D314E">
      <w:pPr>
        <w:pStyle w:val="Fotnotetekst"/>
      </w:pPr>
      <w:r>
        <w:rPr>
          <w:vertAlign w:val="superscript"/>
        </w:rPr>
        <w:footnoteRef/>
      </w:r>
      <w:r w:rsidRPr="00576C3D">
        <w:tab/>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footnote>
  <w:footnote w:id="19">
    <w:p w14:paraId="4F991DAA" w14:textId="084ADEBD" w:rsidR="005D314E" w:rsidRDefault="005D314E">
      <w:pPr>
        <w:pStyle w:val="Fotnotetekst"/>
      </w:pPr>
      <w:r>
        <w:rPr>
          <w:vertAlign w:val="superscript"/>
        </w:rPr>
        <w:footnoteRef/>
      </w:r>
      <w:r w:rsidRPr="00576C3D">
        <w:tab/>
        <w:t xml:space="preserve">Rådsforordning (EF) nr. 515/97 av 13. mars 1997 om gjensidig bistand mellom medlemsstatenes forvaltningsmyndigheter og om samarbeid mellom dem og Kommisjonen for å sikre riktig </w:t>
      </w:r>
      <w:proofErr w:type="gramStart"/>
      <w:r w:rsidRPr="00576C3D">
        <w:t>anvendelse</w:t>
      </w:r>
      <w:proofErr w:type="gramEnd"/>
      <w:r w:rsidRPr="00576C3D">
        <w:t xml:space="preserve"> av toll- og landbruksbestemmelsene (EFT L 82 av 22.3.1997, s. 1).</w:t>
      </w:r>
    </w:p>
  </w:footnote>
  <w:footnote w:id="20">
    <w:p w14:paraId="562D9DCE" w14:textId="3B4FBC2C" w:rsidR="005D314E" w:rsidRDefault="005D314E">
      <w:pPr>
        <w:pStyle w:val="Fotnotetekst"/>
      </w:pPr>
      <w:r>
        <w:rPr>
          <w:vertAlign w:val="superscript"/>
        </w:rPr>
        <w:footnoteRef/>
      </w:r>
      <w:r w:rsidRPr="00576C3D">
        <w:tab/>
        <w:t>EUT L 123 av 12.5.2016, s. 1.</w:t>
      </w:r>
    </w:p>
  </w:footnote>
  <w:footnote w:id="21">
    <w:p w14:paraId="7003A7AC" w14:textId="7CF2BC36" w:rsidR="005D314E" w:rsidRDefault="005D314E">
      <w:pPr>
        <w:pStyle w:val="Fotnotetekst"/>
      </w:pPr>
      <w:r>
        <w:rPr>
          <w:vertAlign w:val="superscript"/>
        </w:rPr>
        <w:footnoteRef/>
      </w:r>
      <w:r w:rsidRPr="00576C3D">
        <w:tab/>
        <w:t>Europaparlaments- og rådsforordning (EU) nr. 182/2011 av 16. februar 2011 om fastsettelse av allmenne regler og prinsipper for medlemsstatenes kontroll med Kommisjonens utøvelse av sin gjennomføringsmyndighet (EUT L 55 av 28.2.2011, s. 13).</w:t>
      </w:r>
    </w:p>
  </w:footnote>
  <w:footnote w:id="22">
    <w:p w14:paraId="7848B8FE" w14:textId="072B4C12" w:rsidR="005D314E" w:rsidRDefault="005D314E">
      <w:pPr>
        <w:pStyle w:val="Fotnotetekst"/>
      </w:pPr>
      <w:r>
        <w:rPr>
          <w:vertAlign w:val="superscript"/>
        </w:rPr>
        <w:footnoteRef/>
      </w:r>
      <w:r w:rsidRPr="00576C3D">
        <w:tab/>
        <w:t>Rådsforordning (EF) nr. 1186/2009 av 16. november 2009 om en fellesskapsordning for tollfritak (EUT L 324 av 10.12.2009, s. 23).</w:t>
      </w:r>
    </w:p>
  </w:footnote>
  <w:footnote w:id="23">
    <w:p w14:paraId="76C926FF" w14:textId="23120A1C" w:rsidR="005D314E" w:rsidRDefault="005D314E">
      <w:pPr>
        <w:pStyle w:val="Fotnotetekst"/>
      </w:pPr>
      <w:r>
        <w:rPr>
          <w:vertAlign w:val="superscript"/>
        </w:rPr>
        <w:footnoteRef/>
      </w:r>
      <w:r w:rsidRPr="00576C3D">
        <w:tab/>
        <w:t>Delegert kommisjonsforordning (EU) 2015/2446 av 28. juli 2015 om utfylling av europaparlaments- og rådsforordning (EU) nr. 952/2013 om fastsettelse av nærmere regler for visse bestemmelser i Unionens tollkodeks (EUT L 343 av 29.12.2015, s. 1).</w:t>
      </w:r>
    </w:p>
  </w:footnote>
  <w:footnote w:id="24">
    <w:p w14:paraId="3597A020" w14:textId="061A9729" w:rsidR="005D314E" w:rsidRDefault="005D314E">
      <w:pPr>
        <w:pStyle w:val="Fotnotetekst"/>
      </w:pPr>
      <w:r>
        <w:rPr>
          <w:vertAlign w:val="superscript"/>
        </w:rPr>
        <w:footnoteRef/>
      </w:r>
      <w:r w:rsidRPr="00576C3D">
        <w:tab/>
        <w:t>Kommisjonens gjennomføringsforordning (EU) 2018/2066 av 19. desember 2018 om overvåking og rapportering av utslipp av klimagasser i henhold til europaparlaments- og rådsdirektiv 2003/87/EF og om endring av kommisjonsforordning (EU) nr. 601/2012 (EUT L 334 av 31.12.2018, s. 1).</w:t>
      </w:r>
    </w:p>
  </w:footnote>
  <w:footnote w:id="25">
    <w:p w14:paraId="7537CC21" w14:textId="4525C235" w:rsidR="005D314E" w:rsidRDefault="005D314E">
      <w:pPr>
        <w:pStyle w:val="Fotnotetekst"/>
      </w:pPr>
      <w:r>
        <w:rPr>
          <w:vertAlign w:val="superscript"/>
        </w:rPr>
        <w:footnoteRef/>
      </w:r>
      <w:r w:rsidRPr="00576C3D">
        <w:tab/>
        <w:t>Delegert kommisjonsforordning (EU) 2019/331 av 19. desember 2018 om fastsettelse av overgangsregler i Unionen med hensyn til harmonisert vederlagsfri tildeling av utslippskvoter i samsvar med artikkel 10a i europaparlaments- og rådsdirektiv 2003/87/EF (EUT L 59 av 27.2.2019, s. 8).</w:t>
      </w:r>
    </w:p>
  </w:footnote>
  <w:footnote w:id="26">
    <w:p w14:paraId="0A299161" w14:textId="54983B93" w:rsidR="005D314E" w:rsidRDefault="005D314E">
      <w:pPr>
        <w:pStyle w:val="Fotnotetekst"/>
      </w:pPr>
      <w:r>
        <w:rPr>
          <w:vertAlign w:val="superscript"/>
        </w:rPr>
        <w:footnoteRef/>
      </w:r>
      <w:r w:rsidRPr="00576C3D">
        <w:tab/>
        <w:t>Kommisjonsforordning (EU) nr. 1031/2010 av 12. november 2010 om tidsskjema, administrasjon og andre sider ved auksjonering av utslippskvoter for klimagasser i henhold til europaparlaments- og rådsdirektiv 2003/87/EF om opprettelse av en ordning for handel med utslippskvoter for klimagasser i Fellesskapet (EUT L 302 av 18.11.2010, s. 1).</w:t>
      </w:r>
    </w:p>
  </w:footnote>
  <w:footnote w:id="27">
    <w:p w14:paraId="5A42D087" w14:textId="6F326BD0" w:rsidR="005D314E" w:rsidRDefault="005D314E">
      <w:pPr>
        <w:pStyle w:val="Fotnotetekst"/>
      </w:pPr>
      <w:r>
        <w:rPr>
          <w:vertAlign w:val="superscript"/>
        </w:rPr>
        <w:footnoteRef/>
      </w:r>
      <w:r w:rsidRPr="00576C3D">
        <w:tab/>
        <w:t>Europaparlaments- og rådsforordning (EU) 2021/947 av 9. juni 2021 om opprettelse av instrumentet for naboskap, utviklingssamarbeid og internasjonalt samarbeid – Et globalt Europa, om endring og oppheving av europaparlaments- og rådsbeslutning nr. 466/2014/EU og om oppheving av europaparlaments- og rådsforordning (EU) 2017/1601 og rådsforordning (EF, Euratom) nr. 480/2009 (EUT L 209 av 14.6.2021, s. 1).</w:t>
      </w:r>
    </w:p>
  </w:footnote>
  <w:footnote w:id="28">
    <w:p w14:paraId="4432A11D" w14:textId="7C5EFC9A" w:rsidR="005D314E" w:rsidRDefault="005D314E">
      <w:pPr>
        <w:pStyle w:val="Fotnotetekst"/>
      </w:pPr>
      <w:r>
        <w:rPr>
          <w:vertAlign w:val="superscript"/>
        </w:rPr>
        <w:footnoteRef/>
      </w:r>
      <w:r w:rsidRPr="00576C3D">
        <w:tab/>
        <w:t>Europaparlaments- og rådsdirektiv (EU) 2019/944 av 5. juni 2019 om felles regler for det indre marked for elektrisk kraft og om endring av direktiv 2012/27/EU (EUT L 158 av 14.6.2019, s. 125).</w:t>
      </w:r>
    </w:p>
  </w:footnote>
  <w:footnote w:id="29">
    <w:p w14:paraId="0A88FA5C" w14:textId="630D8B77" w:rsidR="005D314E" w:rsidRDefault="005D314E">
      <w:pPr>
        <w:pStyle w:val="Fotnotetekst"/>
      </w:pPr>
      <w:r>
        <w:rPr>
          <w:vertAlign w:val="superscript"/>
        </w:rPr>
        <w:footnoteRef/>
      </w:r>
      <w:r w:rsidRPr="00576C3D">
        <w:tab/>
        <w:t>EUT C, C/2025/3201, 2.7.2025, ELI: </w:t>
      </w:r>
      <w:r w:rsidRPr="00576C3D">
        <w:rPr>
          <w:rStyle w:val="Hyperkobling"/>
        </w:rPr>
        <w:t>http://data.europa.eu/</w:t>
      </w:r>
      <w:proofErr w:type="spellStart"/>
      <w:r w:rsidRPr="00576C3D">
        <w:rPr>
          <w:rStyle w:val="Hyperkobling"/>
        </w:rPr>
        <w:t>eli</w:t>
      </w:r>
      <w:proofErr w:type="spellEnd"/>
      <w:r w:rsidRPr="00576C3D">
        <w:rPr>
          <w:rStyle w:val="Hyperkobling"/>
        </w:rPr>
        <w:t>/C/2025/3201/</w:t>
      </w:r>
      <w:proofErr w:type="spellStart"/>
      <w:r w:rsidRPr="00576C3D">
        <w:rPr>
          <w:rStyle w:val="Hyperkobling"/>
        </w:rPr>
        <w:t>oj</w:t>
      </w:r>
      <w:proofErr w:type="spellEnd"/>
      <w:r w:rsidRPr="00576C3D">
        <w:t>.</w:t>
      </w:r>
    </w:p>
  </w:footnote>
  <w:footnote w:id="30">
    <w:p w14:paraId="4E829D28" w14:textId="19AC4740" w:rsidR="005D314E" w:rsidRDefault="005D314E">
      <w:pPr>
        <w:pStyle w:val="Fotnotetekst"/>
      </w:pPr>
      <w:r>
        <w:rPr>
          <w:vertAlign w:val="superscript"/>
        </w:rPr>
        <w:footnoteRef/>
      </w:r>
      <w:r w:rsidRPr="00576C3D">
        <w:tab/>
        <w:t>Europaparlamentets holdning av 10. september 2025 (ennå ikke offentliggjort i EUT) og rådsbeslutning av 29. september 2025.</w:t>
      </w:r>
    </w:p>
  </w:footnote>
  <w:footnote w:id="31">
    <w:p w14:paraId="74067955" w14:textId="01360EC3" w:rsidR="005D314E" w:rsidRDefault="005D314E">
      <w:pPr>
        <w:pStyle w:val="Fotnotetekst"/>
      </w:pPr>
      <w:r>
        <w:rPr>
          <w:vertAlign w:val="superscript"/>
        </w:rPr>
        <w:footnoteRef/>
      </w:r>
      <w:r w:rsidRPr="00576C3D">
        <w:tab/>
        <w:t xml:space="preserve">Europaparlaments- og rådsforordning (EU) 2023/956 av 10. mai 2023 om opprettelse av en karbongrensejusteringsmekanisme (EUT L 130 av 16.5.2023, s. 52, ELI: </w:t>
      </w:r>
      <w:r w:rsidRPr="00576C3D">
        <w:rPr>
          <w:rStyle w:val="Hyperkobling"/>
        </w:rPr>
        <w:t>http://data.europa.eu/eli/reg/2023/956/oj</w:t>
      </w:r>
      <w:r w:rsidRPr="00576C3D">
        <w:t>).</w:t>
      </w:r>
    </w:p>
  </w:footnote>
  <w:footnote w:id="32">
    <w:p w14:paraId="6DD31683" w14:textId="11E0FE46" w:rsidR="005D314E" w:rsidRDefault="005D314E">
      <w:pPr>
        <w:pStyle w:val="Fotnotetekst"/>
      </w:pPr>
      <w:r>
        <w:rPr>
          <w:vertAlign w:val="superscript"/>
        </w:rPr>
        <w:footnoteRef/>
      </w:r>
      <w:r w:rsidRPr="00576C3D">
        <w:tab/>
        <w:t xml:space="preserve">Rådsforordning (EF) nr. 1186/2009 av 16. november 2009 om en fellesskapsordning for tollfritak (EUT L 324 av 10.12.2009, s. 23, ELI: </w:t>
      </w:r>
      <w:r w:rsidRPr="00576C3D">
        <w:rPr>
          <w:rStyle w:val="Hyperkobling"/>
        </w:rPr>
        <w:t>http://data.europa.eu/eli/reg/2009/1186/oj</w:t>
      </w:r>
      <w:r w:rsidRPr="00576C3D">
        <w:t>).</w:t>
      </w:r>
    </w:p>
  </w:footnote>
  <w:footnote w:id="33">
    <w:p w14:paraId="44FDD915" w14:textId="7F877614" w:rsidR="005D314E" w:rsidRDefault="005D314E">
      <w:pPr>
        <w:pStyle w:val="Fotnotetekst"/>
      </w:pPr>
      <w:r>
        <w:rPr>
          <w:vertAlign w:val="superscript"/>
        </w:rPr>
        <w:footnoteRef/>
      </w:r>
      <w:r w:rsidRPr="00576C3D">
        <w:tab/>
        <w:t>Delegert kommisjonsforordning (EU) 2015/2446 av 28. juli 2015 om utfylling av europaparlaments- og rådsforordning (EU) nr. 952/2013 med hensyn til nærmere regler for visse bestemmelser i Unionens tollkodeks (EUT L 343 av 29.12.2015, s. 1, ELI: </w:t>
      </w:r>
      <w:r w:rsidRPr="00576C3D">
        <w:rPr>
          <w:rStyle w:val="Hyperkobling"/>
        </w:rPr>
        <w:t>http://data.europa.eu/</w:t>
      </w:r>
      <w:proofErr w:type="spellStart"/>
      <w:r w:rsidRPr="00576C3D">
        <w:rPr>
          <w:rStyle w:val="Hyperkobling"/>
        </w:rPr>
        <w:t>eli</w:t>
      </w:r>
      <w:proofErr w:type="spellEnd"/>
      <w:r w:rsidRPr="00576C3D">
        <w:rPr>
          <w:rStyle w:val="Hyperkobling"/>
        </w:rPr>
        <w:t>/</w:t>
      </w:r>
      <w:proofErr w:type="spellStart"/>
      <w:r w:rsidRPr="00576C3D">
        <w:rPr>
          <w:rStyle w:val="Hyperkobling"/>
        </w:rPr>
        <w:t>reg_del</w:t>
      </w:r>
      <w:proofErr w:type="spellEnd"/>
      <w:r w:rsidRPr="00576C3D">
        <w:rPr>
          <w:rStyle w:val="Hyperkobling"/>
        </w:rPr>
        <w:t>/2015/2446/</w:t>
      </w:r>
      <w:proofErr w:type="spellStart"/>
      <w:r w:rsidRPr="00576C3D">
        <w:rPr>
          <w:rStyle w:val="Hyperkobling"/>
        </w:rPr>
        <w:t>oj</w:t>
      </w:r>
      <w:proofErr w:type="spellEnd"/>
      <w:r w:rsidRPr="00576C3D">
        <w:t>).</w:t>
      </w:r>
    </w:p>
  </w:footnote>
  <w:footnote w:id="34">
    <w:p w14:paraId="4CFEDDBD" w14:textId="0AC9E0E1" w:rsidR="005D314E" w:rsidRDefault="005D314E">
      <w:pPr>
        <w:pStyle w:val="Fotnotetekst"/>
      </w:pPr>
      <w:r>
        <w:rPr>
          <w:vertAlign w:val="superscript"/>
        </w:rPr>
        <w:footnoteRef/>
      </w:r>
      <w:r w:rsidRPr="00576C3D">
        <w:t xml:space="preserve">Europaparlaments- og rådsdirektiv 2003/87/EF av 13. oktober 2003 om opprettelse av en ordning for handel med utslippskvoter for klimagasser i Fellesskapet og om endring av rådsdirektiv 96/61/EF (EUT L 275 av 25.10.2003, s. 32, ELI: </w:t>
      </w:r>
      <w:r w:rsidRPr="00576C3D">
        <w:rPr>
          <w:rStyle w:val="Hyperkobling"/>
        </w:rPr>
        <w:t>http://data.europa.eu/eli/dir/2003/87/oj</w:t>
      </w:r>
      <w:r w:rsidRPr="00576C3D">
        <w:t>).</w:t>
      </w:r>
    </w:p>
  </w:footnote>
  <w:footnote w:id="35">
    <w:p w14:paraId="148B7091" w14:textId="7DC4E07D" w:rsidR="005D314E" w:rsidRDefault="005D314E">
      <w:pPr>
        <w:pStyle w:val="Fotnotetekst"/>
      </w:pPr>
      <w:r>
        <w:rPr>
          <w:vertAlign w:val="superscript"/>
        </w:rPr>
        <w:footnoteRef/>
      </w:r>
      <w:r w:rsidRPr="00576C3D">
        <w:tab/>
        <w:t>Europaparlaments- og rådsforordning (EF) nr. 765/2008 av 9. juli 2008 om fastsettelse av kravene til akkreditering og om oppheving av forordning (EØF) nr. 339/93 (EUT L 218 av 13.8.2008, s. 30, ELI: </w:t>
      </w:r>
      <w:r w:rsidRPr="00576C3D">
        <w:rPr>
          <w:rStyle w:val="Hyperkobling"/>
        </w:rPr>
        <w:t>http://data.europa.eu/</w:t>
      </w:r>
      <w:proofErr w:type="spellStart"/>
      <w:r w:rsidRPr="00576C3D">
        <w:rPr>
          <w:rStyle w:val="Hyperkobling"/>
        </w:rPr>
        <w:t>eli</w:t>
      </w:r>
      <w:proofErr w:type="spellEnd"/>
      <w:r w:rsidRPr="00576C3D">
        <w:rPr>
          <w:rStyle w:val="Hyperkobling"/>
        </w:rPr>
        <w:t>/</w:t>
      </w:r>
      <w:proofErr w:type="spellStart"/>
      <w:r w:rsidRPr="00576C3D">
        <w:rPr>
          <w:rStyle w:val="Hyperkobling"/>
        </w:rPr>
        <w:t>reg</w:t>
      </w:r>
      <w:proofErr w:type="spellEnd"/>
      <w:r w:rsidRPr="00576C3D">
        <w:rPr>
          <w:rStyle w:val="Hyperkobling"/>
        </w:rPr>
        <w:t>/2008/765/</w:t>
      </w:r>
      <w:proofErr w:type="spellStart"/>
      <w:r w:rsidRPr="00576C3D">
        <w:rPr>
          <w:rStyle w:val="Hyperkobling"/>
        </w:rPr>
        <w:t>oj</w:t>
      </w:r>
      <w:proofErr w:type="spellEnd"/>
      <w:r w:rsidRPr="00576C3D">
        <w:t>).</w:t>
      </w:r>
    </w:p>
  </w:footnote>
  <w:footnote w:id="36">
    <w:p w14:paraId="34C33EF9" w14:textId="04E529ED" w:rsidR="005D314E" w:rsidRDefault="005D314E">
      <w:pPr>
        <w:pStyle w:val="Fotnotetekst"/>
      </w:pPr>
      <w:r>
        <w:rPr>
          <w:vertAlign w:val="superscript"/>
        </w:rPr>
        <w:footnoteRef/>
      </w:r>
      <w:r w:rsidRPr="00576C3D">
        <w:tab/>
        <w:t xml:space="preserve">Kommisjonens gjennomføringsforordning (EU) 2018/2067 av 19. desember 2018 om verifisering av data og akkreditering av miljøkontrollører i samsvar med europaparlaments- og rådsdirektiv 2003/87/EF (EUT L 334 av 31.12.2018, s. 94, ELI: </w:t>
      </w:r>
      <w:r w:rsidRPr="00576C3D">
        <w:rPr>
          <w:rStyle w:val="Hyperkobling"/>
        </w:rPr>
        <w:t>http://data.europa.eu/eli/reg_impl/2018/2067/oj</w:t>
      </w:r>
      <w:r w:rsidRPr="00576C3D">
        <w:t>).</w:t>
      </w:r>
    </w:p>
  </w:footnote>
  <w:footnote w:id="37">
    <w:p w14:paraId="4012A2A3" w14:textId="66862F27" w:rsidR="005D314E" w:rsidRDefault="005D314E">
      <w:pPr>
        <w:pStyle w:val="Fotnotetekst"/>
      </w:pPr>
      <w:r>
        <w:rPr>
          <w:vertAlign w:val="superscript"/>
        </w:rPr>
        <w:footnoteRef/>
      </w:r>
      <w:r w:rsidRPr="00576C3D">
        <w:tab/>
        <w:t xml:space="preserve">EUT L 123 av 12.5.2016, s. 1, ELI: </w:t>
      </w:r>
      <w:r w:rsidRPr="00576C3D">
        <w:rPr>
          <w:rStyle w:val="Hyperkobling"/>
        </w:rPr>
        <w:t>http://data.europa.eu/eli/dir/2016/512/oj</w:t>
      </w:r>
      <w:r w:rsidRPr="00576C3D">
        <w:t>.</w:t>
      </w:r>
    </w:p>
  </w:footnote>
  <w:footnote w:id="38">
    <w:p w14:paraId="7083EF0E" w14:textId="44CBE500" w:rsidR="005D314E" w:rsidRDefault="005D314E">
      <w:pPr>
        <w:pStyle w:val="Fotnotetekst"/>
      </w:pPr>
      <w:r>
        <w:rPr>
          <w:vertAlign w:val="superscript"/>
        </w:rPr>
        <w:footnoteRef/>
      </w:r>
      <w:r w:rsidRPr="00576C3D">
        <w:tab/>
        <w:t>EUT L 130 av 16.5.2023, s. 52.</w:t>
      </w:r>
    </w:p>
  </w:footnote>
  <w:footnote w:id="39">
    <w:p w14:paraId="3A48A79A" w14:textId="5D1D182D" w:rsidR="005D314E" w:rsidRDefault="005D314E">
      <w:pPr>
        <w:pStyle w:val="Fotnotetekst"/>
      </w:pPr>
      <w:r>
        <w:rPr>
          <w:vertAlign w:val="superscript"/>
        </w:rPr>
        <w:footnoteRef/>
      </w:r>
      <w:r w:rsidRPr="00576C3D">
        <w:tab/>
        <w:t xml:space="preserve">EUT L, 2025/2083, 17.10.2025, ELI: </w:t>
      </w:r>
      <w:r w:rsidRPr="00576C3D">
        <w:rPr>
          <w:rStyle w:val="Hyperkobling"/>
        </w:rPr>
        <w:t>http://data.europa.eu/eli/reg/2025/2083/oj</w:t>
      </w:r>
      <w:r w:rsidRPr="00576C3D">
        <w:t xml:space="preserve">. </w:t>
      </w:r>
    </w:p>
  </w:footnote>
  <w:footnote w:id="40">
    <w:p w14:paraId="4C4EC218" w14:textId="403554C2" w:rsidR="005D314E" w:rsidRDefault="005D314E">
      <w:pPr>
        <w:pStyle w:val="Fotnotetekst"/>
      </w:pPr>
      <w:r>
        <w:rPr>
          <w:vertAlign w:val="superscript"/>
        </w:rPr>
        <w:footnoteRef/>
      </w:r>
      <w:r w:rsidRPr="00576C3D">
        <w:t>(</w:t>
      </w:r>
      <w:r w:rsidRPr="00576C3D">
        <w:tab/>
        <w:t>EUT L 130 av 16.5.2023, s. 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F4B3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0A4B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8EE3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34966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7162502C"/>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D408E0A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D95636D"/>
    <w:multiLevelType w:val="hybridMultilevel"/>
    <w:tmpl w:val="BA9685F6"/>
    <w:lvl w:ilvl="0" w:tplc="3EB2853C">
      <w:start w:val="1"/>
      <w:numFmt w:val="decimal"/>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E681423"/>
    <w:multiLevelType w:val="multilevel"/>
    <w:tmpl w:val="82AC8ECA"/>
    <w:numStyleLink w:val="OverskrifterListeStil"/>
  </w:abstractNum>
  <w:abstractNum w:abstractNumId="14"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3ADC5384"/>
    <w:multiLevelType w:val="multilevel"/>
    <w:tmpl w:val="86DAF25C"/>
    <w:numStyleLink w:val="l-AlfaListeStil"/>
  </w:abstractNum>
  <w:abstractNum w:abstractNumId="16"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7"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8"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9"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1"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2"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3"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4"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5" w15:restartNumberingAfterBreak="0">
    <w:nsid w:val="62A6542F"/>
    <w:multiLevelType w:val="multilevel"/>
    <w:tmpl w:val="619C0D84"/>
    <w:numStyleLink w:val="RomListeStil"/>
  </w:abstractNum>
  <w:abstractNum w:abstractNumId="26"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7" w15:restartNumberingAfterBreak="0">
    <w:nsid w:val="774B3F5F"/>
    <w:multiLevelType w:val="multilevel"/>
    <w:tmpl w:val="82AC8ECA"/>
    <w:numStyleLink w:val="OverskrifterListeStil"/>
  </w:abstractNum>
  <w:num w:numId="1" w16cid:durableId="1168135438">
    <w:abstractNumId w:val="4"/>
  </w:num>
  <w:num w:numId="2" w16cid:durableId="1782408225">
    <w:abstractNumId w:val="3"/>
  </w:num>
  <w:num w:numId="3" w16cid:durableId="1206603516">
    <w:abstractNumId w:val="2"/>
  </w:num>
  <w:num w:numId="4" w16cid:durableId="395323660">
    <w:abstractNumId w:val="1"/>
  </w:num>
  <w:num w:numId="5" w16cid:durableId="623391079">
    <w:abstractNumId w:val="0"/>
  </w:num>
  <w:num w:numId="6" w16cid:durableId="960113576">
    <w:abstractNumId w:val="5"/>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1191992132">
    <w:abstractNumId w:val="5"/>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83311165">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914118601">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489319500">
    <w:abstractNumId w:val="5"/>
    <w:lvlOverride w:ilvl="0">
      <w:lvl w:ilvl="0">
        <w:start w:val="1"/>
        <w:numFmt w:val="bullet"/>
        <w:lvlText w:val="2.2.1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877200678">
    <w:abstractNumId w:val="5"/>
    <w:lvlOverride w:ilvl="0">
      <w:lvl w:ilvl="0">
        <w:start w:val="1"/>
        <w:numFmt w:val="bullet"/>
        <w:lvlText w:val="2.2.2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547422349">
    <w:abstractNumId w:val="5"/>
    <w:lvlOverride w:ilvl="0">
      <w:lvl w:ilvl="0">
        <w:start w:val="1"/>
        <w:numFmt w:val="bullet"/>
        <w:lvlText w:val="2.2.3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1327132747">
    <w:abstractNumId w:val="5"/>
    <w:lvlOverride w:ilvl="0">
      <w:lvl w:ilvl="0">
        <w:start w:val="1"/>
        <w:numFmt w:val="bullet"/>
        <w:lvlText w:val="2.2.4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995113664">
    <w:abstractNumId w:val="5"/>
    <w:lvlOverride w:ilvl="0">
      <w:lvl w:ilvl="0">
        <w:start w:val="1"/>
        <w:numFmt w:val="bullet"/>
        <w:lvlText w:val="2.2.4.1 "/>
        <w:legacy w:legacy="1" w:legacySpace="0" w:legacyIndent="0"/>
        <w:lvlJc w:val="left"/>
        <w:pPr>
          <w:ind w:left="0" w:firstLine="0"/>
        </w:pPr>
        <w:rPr>
          <w:rFonts w:ascii="Myriad Pro" w:hAnsi="Myriad Pro" w:hint="default"/>
          <w:b w:val="0"/>
          <w:i/>
          <w:strike w:val="0"/>
          <w:color w:val="000000"/>
          <w:sz w:val="22"/>
          <w:u w:val="none"/>
        </w:rPr>
      </w:lvl>
    </w:lvlOverride>
  </w:num>
  <w:num w:numId="15" w16cid:durableId="528765655">
    <w:abstractNumId w:val="5"/>
    <w:lvlOverride w:ilvl="0">
      <w:lvl w:ilvl="0">
        <w:start w:val="1"/>
        <w:numFmt w:val="bullet"/>
        <w:lvlText w:val="2.2.4.2 "/>
        <w:legacy w:legacy="1" w:legacySpace="0" w:legacyIndent="0"/>
        <w:lvlJc w:val="left"/>
        <w:pPr>
          <w:ind w:left="0" w:firstLine="0"/>
        </w:pPr>
        <w:rPr>
          <w:rFonts w:ascii="Myriad Pro" w:hAnsi="Myriad Pro" w:hint="default"/>
          <w:b w:val="0"/>
          <w:i/>
          <w:strike w:val="0"/>
          <w:color w:val="000000"/>
          <w:sz w:val="22"/>
          <w:u w:val="none"/>
        </w:rPr>
      </w:lvl>
    </w:lvlOverride>
  </w:num>
  <w:num w:numId="16" w16cid:durableId="1295016293">
    <w:abstractNumId w:val="5"/>
    <w:lvlOverride w:ilvl="0">
      <w:lvl w:ilvl="0">
        <w:start w:val="1"/>
        <w:numFmt w:val="bullet"/>
        <w:lvlText w:val="2.2.4.3 "/>
        <w:legacy w:legacy="1" w:legacySpace="0" w:legacyIndent="0"/>
        <w:lvlJc w:val="left"/>
        <w:pPr>
          <w:ind w:left="0" w:firstLine="0"/>
        </w:pPr>
        <w:rPr>
          <w:rFonts w:ascii="Myriad Pro" w:hAnsi="Myriad Pro" w:hint="default"/>
          <w:b w:val="0"/>
          <w:i/>
          <w:strike w:val="0"/>
          <w:color w:val="000000"/>
          <w:sz w:val="22"/>
          <w:u w:val="none"/>
        </w:rPr>
      </w:lvl>
    </w:lvlOverride>
  </w:num>
  <w:num w:numId="17" w16cid:durableId="808785673">
    <w:abstractNumId w:val="5"/>
    <w:lvlOverride w:ilvl="0">
      <w:lvl w:ilvl="0">
        <w:start w:val="1"/>
        <w:numFmt w:val="bullet"/>
        <w:lvlText w:val="2.2.4.4 "/>
        <w:legacy w:legacy="1" w:legacySpace="0" w:legacyIndent="0"/>
        <w:lvlJc w:val="left"/>
        <w:pPr>
          <w:ind w:left="0" w:firstLine="0"/>
        </w:pPr>
        <w:rPr>
          <w:rFonts w:ascii="Myriad Pro" w:hAnsi="Myriad Pro" w:hint="default"/>
          <w:b w:val="0"/>
          <w:i/>
          <w:strike w:val="0"/>
          <w:color w:val="000000"/>
          <w:sz w:val="22"/>
          <w:u w:val="none"/>
        </w:rPr>
      </w:lvl>
    </w:lvlOverride>
  </w:num>
  <w:num w:numId="18" w16cid:durableId="1547831684">
    <w:abstractNumId w:val="5"/>
    <w:lvlOverride w:ilvl="0">
      <w:lvl w:ilvl="0">
        <w:start w:val="1"/>
        <w:numFmt w:val="bullet"/>
        <w:lvlText w:val="2.2.5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748188144">
    <w:abstractNumId w:val="5"/>
    <w:lvlOverride w:ilvl="0">
      <w:lvl w:ilvl="0">
        <w:start w:val="1"/>
        <w:numFmt w:val="bullet"/>
        <w:lvlText w:val="2.2.5.1 "/>
        <w:legacy w:legacy="1" w:legacySpace="0" w:legacyIndent="0"/>
        <w:lvlJc w:val="left"/>
        <w:pPr>
          <w:ind w:left="0" w:firstLine="0"/>
        </w:pPr>
        <w:rPr>
          <w:rFonts w:ascii="Myriad Pro" w:hAnsi="Myriad Pro" w:hint="default"/>
          <w:b w:val="0"/>
          <w:i/>
          <w:strike w:val="0"/>
          <w:color w:val="000000"/>
          <w:sz w:val="22"/>
          <w:u w:val="none"/>
        </w:rPr>
      </w:lvl>
    </w:lvlOverride>
  </w:num>
  <w:num w:numId="20" w16cid:durableId="1687828223">
    <w:abstractNumId w:val="5"/>
    <w:lvlOverride w:ilvl="0">
      <w:lvl w:ilvl="0">
        <w:start w:val="1"/>
        <w:numFmt w:val="bullet"/>
        <w:lvlText w:val="2.2.5.2 "/>
        <w:legacy w:legacy="1" w:legacySpace="0" w:legacyIndent="0"/>
        <w:lvlJc w:val="left"/>
        <w:pPr>
          <w:ind w:left="0" w:firstLine="0"/>
        </w:pPr>
        <w:rPr>
          <w:rFonts w:ascii="Myriad Pro" w:hAnsi="Myriad Pro" w:hint="default"/>
          <w:b w:val="0"/>
          <w:i/>
          <w:strike w:val="0"/>
          <w:color w:val="000000"/>
          <w:sz w:val="22"/>
          <w:u w:val="none"/>
        </w:rPr>
      </w:lvl>
    </w:lvlOverride>
  </w:num>
  <w:num w:numId="21" w16cid:durableId="144251038">
    <w:abstractNumId w:val="5"/>
    <w:lvlOverride w:ilvl="0">
      <w:lvl w:ilvl="0">
        <w:start w:val="1"/>
        <w:numFmt w:val="bullet"/>
        <w:lvlText w:val="2.2.6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500971725">
    <w:abstractNumId w:val="5"/>
    <w:lvlOverride w:ilvl="0">
      <w:lvl w:ilvl="0">
        <w:start w:val="1"/>
        <w:numFmt w:val="bullet"/>
        <w:lvlText w:val="2.2.7 "/>
        <w:legacy w:legacy="1" w:legacySpace="0" w:legacyIndent="0"/>
        <w:lvlJc w:val="left"/>
        <w:pPr>
          <w:ind w:left="0" w:firstLine="0"/>
        </w:pPr>
        <w:rPr>
          <w:rFonts w:ascii="Myriad Pro" w:hAnsi="Myriad Pro" w:hint="default"/>
          <w:b/>
          <w:i w:val="0"/>
          <w:strike w:val="0"/>
          <w:color w:val="000000"/>
          <w:sz w:val="22"/>
          <w:u w:val="none"/>
        </w:rPr>
      </w:lvl>
    </w:lvlOverride>
  </w:num>
  <w:num w:numId="23" w16cid:durableId="1162698882">
    <w:abstractNumId w:val="5"/>
    <w:lvlOverride w:ilvl="0">
      <w:lvl w:ilvl="0">
        <w:start w:val="1"/>
        <w:numFmt w:val="bullet"/>
        <w:lvlText w:val="2.2.8 "/>
        <w:legacy w:legacy="1" w:legacySpace="0" w:legacyIndent="0"/>
        <w:lvlJc w:val="left"/>
        <w:pPr>
          <w:ind w:left="0" w:firstLine="0"/>
        </w:pPr>
        <w:rPr>
          <w:rFonts w:ascii="Myriad Pro" w:hAnsi="Myriad Pro" w:hint="default"/>
          <w:b/>
          <w:i w:val="0"/>
          <w:strike w:val="0"/>
          <w:color w:val="000000"/>
          <w:sz w:val="22"/>
          <w:u w:val="none"/>
        </w:rPr>
      </w:lvl>
    </w:lvlOverride>
  </w:num>
  <w:num w:numId="24" w16cid:durableId="469707244">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25" w16cid:durableId="2127850986">
    <w:abstractNumId w:val="5"/>
    <w:lvlOverride w:ilvl="0">
      <w:lvl w:ilvl="0">
        <w:start w:val="1"/>
        <w:numFmt w:val="bullet"/>
        <w:lvlText w:val="2.4 "/>
        <w:legacy w:legacy="1" w:legacySpace="0" w:legacyIndent="0"/>
        <w:lvlJc w:val="left"/>
        <w:pPr>
          <w:ind w:left="0" w:firstLine="0"/>
        </w:pPr>
        <w:rPr>
          <w:rFonts w:ascii="Myriad Pro" w:hAnsi="Myriad Pro" w:hint="default"/>
          <w:b/>
          <w:i w:val="0"/>
          <w:strike w:val="0"/>
          <w:color w:val="000000"/>
          <w:sz w:val="24"/>
          <w:u w:val="none"/>
        </w:rPr>
      </w:lvl>
    </w:lvlOverride>
  </w:num>
  <w:num w:numId="26" w16cid:durableId="176509429">
    <w:abstractNumId w:val="5"/>
    <w:lvlOverride w:ilvl="0">
      <w:lvl w:ilvl="0">
        <w:start w:val="1"/>
        <w:numFmt w:val="bullet"/>
        <w:lvlText w:val="2.4.1 "/>
        <w:legacy w:legacy="1" w:legacySpace="0" w:legacyIndent="0"/>
        <w:lvlJc w:val="left"/>
        <w:pPr>
          <w:ind w:left="0" w:firstLine="0"/>
        </w:pPr>
        <w:rPr>
          <w:rFonts w:ascii="Myriad Pro" w:hAnsi="Myriad Pro" w:hint="default"/>
          <w:b/>
          <w:i w:val="0"/>
          <w:strike w:val="0"/>
          <w:color w:val="000000"/>
          <w:sz w:val="22"/>
          <w:u w:val="none"/>
        </w:rPr>
      </w:lvl>
    </w:lvlOverride>
  </w:num>
  <w:num w:numId="27" w16cid:durableId="2009095468">
    <w:abstractNumId w:val="5"/>
    <w:lvlOverride w:ilvl="0">
      <w:lvl w:ilvl="0">
        <w:start w:val="1"/>
        <w:numFmt w:val="bullet"/>
        <w:lvlText w:val="2.4.2 "/>
        <w:legacy w:legacy="1" w:legacySpace="0" w:legacyIndent="0"/>
        <w:lvlJc w:val="left"/>
        <w:pPr>
          <w:ind w:left="0" w:firstLine="0"/>
        </w:pPr>
        <w:rPr>
          <w:rFonts w:ascii="Myriad Pro" w:hAnsi="Myriad Pro" w:hint="default"/>
          <w:b/>
          <w:i w:val="0"/>
          <w:strike w:val="0"/>
          <w:color w:val="000000"/>
          <w:sz w:val="22"/>
          <w:u w:val="none"/>
        </w:rPr>
      </w:lvl>
    </w:lvlOverride>
  </w:num>
  <w:num w:numId="28" w16cid:durableId="545263012">
    <w:abstractNumId w:val="5"/>
    <w:lvlOverride w:ilvl="0">
      <w:lvl w:ilvl="0">
        <w:start w:val="1"/>
        <w:numFmt w:val="bullet"/>
        <w:lvlText w:val="2.4.3 "/>
        <w:legacy w:legacy="1" w:legacySpace="0" w:legacyIndent="0"/>
        <w:lvlJc w:val="left"/>
        <w:pPr>
          <w:ind w:left="0" w:firstLine="0"/>
        </w:pPr>
        <w:rPr>
          <w:rFonts w:ascii="Myriad Pro" w:hAnsi="Myriad Pro" w:hint="default"/>
          <w:b/>
          <w:i w:val="0"/>
          <w:strike w:val="0"/>
          <w:color w:val="000000"/>
          <w:sz w:val="22"/>
          <w:u w:val="none"/>
        </w:rPr>
      </w:lvl>
    </w:lvlOverride>
  </w:num>
  <w:num w:numId="29" w16cid:durableId="120654634">
    <w:abstractNumId w:val="5"/>
    <w:lvlOverride w:ilvl="0">
      <w:lvl w:ilvl="0">
        <w:start w:val="1"/>
        <w:numFmt w:val="bullet"/>
        <w:lvlText w:val="2.4.3.1 "/>
        <w:legacy w:legacy="1" w:legacySpace="0" w:legacyIndent="0"/>
        <w:lvlJc w:val="left"/>
        <w:pPr>
          <w:ind w:left="0" w:firstLine="0"/>
        </w:pPr>
        <w:rPr>
          <w:rFonts w:ascii="Myriad Pro" w:hAnsi="Myriad Pro" w:hint="default"/>
          <w:b w:val="0"/>
          <w:i/>
          <w:strike w:val="0"/>
          <w:color w:val="000000"/>
          <w:sz w:val="22"/>
          <w:u w:val="none"/>
        </w:rPr>
      </w:lvl>
    </w:lvlOverride>
  </w:num>
  <w:num w:numId="30" w16cid:durableId="16662638">
    <w:abstractNumId w:val="5"/>
    <w:lvlOverride w:ilvl="0">
      <w:lvl w:ilvl="0">
        <w:start w:val="1"/>
        <w:numFmt w:val="bullet"/>
        <w:lvlText w:val="2.4.3.2 "/>
        <w:legacy w:legacy="1" w:legacySpace="0" w:legacyIndent="0"/>
        <w:lvlJc w:val="left"/>
        <w:pPr>
          <w:ind w:left="0" w:firstLine="0"/>
        </w:pPr>
        <w:rPr>
          <w:rFonts w:ascii="Myriad Pro" w:hAnsi="Myriad Pro" w:hint="default"/>
          <w:b w:val="0"/>
          <w:i/>
          <w:strike w:val="0"/>
          <w:color w:val="000000"/>
          <w:sz w:val="22"/>
          <w:u w:val="none"/>
        </w:rPr>
      </w:lvl>
    </w:lvlOverride>
  </w:num>
  <w:num w:numId="31" w16cid:durableId="2125493936">
    <w:abstractNumId w:val="5"/>
    <w:lvlOverride w:ilvl="0">
      <w:lvl w:ilvl="0">
        <w:start w:val="1"/>
        <w:numFmt w:val="bullet"/>
        <w:lvlText w:val="2.4.3.3 "/>
        <w:legacy w:legacy="1" w:legacySpace="0" w:legacyIndent="0"/>
        <w:lvlJc w:val="left"/>
        <w:pPr>
          <w:ind w:left="0" w:firstLine="0"/>
        </w:pPr>
        <w:rPr>
          <w:rFonts w:ascii="Myriad Pro" w:hAnsi="Myriad Pro" w:hint="default"/>
          <w:b w:val="0"/>
          <w:i/>
          <w:strike w:val="0"/>
          <w:color w:val="000000"/>
          <w:sz w:val="22"/>
          <w:u w:val="none"/>
        </w:rPr>
      </w:lvl>
    </w:lvlOverride>
  </w:num>
  <w:num w:numId="32" w16cid:durableId="347603439">
    <w:abstractNumId w:val="5"/>
    <w:lvlOverride w:ilvl="0">
      <w:lvl w:ilvl="0">
        <w:start w:val="1"/>
        <w:numFmt w:val="bullet"/>
        <w:lvlText w:val="2.4.3.4 "/>
        <w:legacy w:legacy="1" w:legacySpace="0" w:legacyIndent="0"/>
        <w:lvlJc w:val="left"/>
        <w:pPr>
          <w:ind w:left="0" w:firstLine="0"/>
        </w:pPr>
        <w:rPr>
          <w:rFonts w:ascii="Myriad Pro" w:hAnsi="Myriad Pro" w:hint="default"/>
          <w:b w:val="0"/>
          <w:i/>
          <w:strike w:val="0"/>
          <w:color w:val="000000"/>
          <w:sz w:val="22"/>
          <w:u w:val="none"/>
        </w:rPr>
      </w:lvl>
    </w:lvlOverride>
  </w:num>
  <w:num w:numId="33" w16cid:durableId="1832066382">
    <w:abstractNumId w:val="5"/>
    <w:lvlOverride w:ilvl="0">
      <w:lvl w:ilvl="0">
        <w:start w:val="1"/>
        <w:numFmt w:val="bullet"/>
        <w:lvlText w:val="2.4.3.5 "/>
        <w:legacy w:legacy="1" w:legacySpace="0" w:legacyIndent="0"/>
        <w:lvlJc w:val="left"/>
        <w:pPr>
          <w:ind w:left="0" w:firstLine="0"/>
        </w:pPr>
        <w:rPr>
          <w:rFonts w:ascii="Myriad Pro" w:hAnsi="Myriad Pro" w:hint="default"/>
          <w:b w:val="0"/>
          <w:i/>
          <w:strike w:val="0"/>
          <w:color w:val="000000"/>
          <w:sz w:val="22"/>
          <w:u w:val="none"/>
        </w:rPr>
      </w:lvl>
    </w:lvlOverride>
  </w:num>
  <w:num w:numId="34" w16cid:durableId="1972592339">
    <w:abstractNumId w:val="5"/>
    <w:lvlOverride w:ilvl="0">
      <w:lvl w:ilvl="0">
        <w:start w:val="1"/>
        <w:numFmt w:val="bullet"/>
        <w:lvlText w:val="2.4.4 "/>
        <w:legacy w:legacy="1" w:legacySpace="0" w:legacyIndent="0"/>
        <w:lvlJc w:val="left"/>
        <w:pPr>
          <w:ind w:left="0" w:firstLine="0"/>
        </w:pPr>
        <w:rPr>
          <w:rFonts w:ascii="Myriad Pro" w:hAnsi="Myriad Pro" w:hint="default"/>
          <w:b/>
          <w:i w:val="0"/>
          <w:strike w:val="0"/>
          <w:color w:val="000000"/>
          <w:sz w:val="22"/>
          <w:u w:val="none"/>
        </w:rPr>
      </w:lvl>
    </w:lvlOverride>
  </w:num>
  <w:num w:numId="35" w16cid:durableId="510607521">
    <w:abstractNumId w:val="5"/>
    <w:lvlOverride w:ilvl="0">
      <w:lvl w:ilvl="0">
        <w:start w:val="1"/>
        <w:numFmt w:val="bullet"/>
        <w:lvlText w:val="2.4.4.1 "/>
        <w:legacy w:legacy="1" w:legacySpace="0" w:legacyIndent="0"/>
        <w:lvlJc w:val="left"/>
        <w:pPr>
          <w:ind w:left="0" w:firstLine="0"/>
        </w:pPr>
        <w:rPr>
          <w:rFonts w:ascii="Myriad Pro" w:hAnsi="Myriad Pro" w:hint="default"/>
          <w:b w:val="0"/>
          <w:i/>
          <w:strike w:val="0"/>
          <w:color w:val="000000"/>
          <w:sz w:val="22"/>
          <w:u w:val="none"/>
        </w:rPr>
      </w:lvl>
    </w:lvlOverride>
  </w:num>
  <w:num w:numId="36" w16cid:durableId="593055105">
    <w:abstractNumId w:val="5"/>
    <w:lvlOverride w:ilvl="0">
      <w:lvl w:ilvl="0">
        <w:start w:val="1"/>
        <w:numFmt w:val="bullet"/>
        <w:lvlText w:val="2.4.5 "/>
        <w:legacy w:legacy="1" w:legacySpace="0" w:legacyIndent="0"/>
        <w:lvlJc w:val="left"/>
        <w:pPr>
          <w:ind w:left="0" w:firstLine="0"/>
        </w:pPr>
        <w:rPr>
          <w:rFonts w:ascii="Myriad Pro" w:hAnsi="Myriad Pro" w:hint="default"/>
          <w:b/>
          <w:i w:val="0"/>
          <w:strike w:val="0"/>
          <w:color w:val="000000"/>
          <w:sz w:val="22"/>
          <w:u w:val="none"/>
        </w:rPr>
      </w:lvl>
    </w:lvlOverride>
  </w:num>
  <w:num w:numId="37" w16cid:durableId="625890516">
    <w:abstractNumId w:val="5"/>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38" w16cid:durableId="577445804">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39" w16cid:durableId="939332516">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40" w16cid:durableId="858855987">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41" w16cid:durableId="1523477447">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42" w16cid:durableId="152599954">
    <w:abstractNumId w:val="5"/>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4"/>
          <w:u w:val="none"/>
        </w:rPr>
      </w:lvl>
    </w:lvlOverride>
  </w:num>
  <w:num w:numId="43" w16cid:durableId="493187128">
    <w:abstractNumId w:val="5"/>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44" w16cid:durableId="1519271172">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45" w16cid:durableId="91581">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46" w16cid:durableId="1231424533">
    <w:abstractNumId w:val="5"/>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47" w16cid:durableId="668824715">
    <w:abstractNumId w:val="5"/>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4"/>
          <w:u w:val="none"/>
        </w:rPr>
      </w:lvl>
    </w:lvlOverride>
  </w:num>
  <w:num w:numId="48" w16cid:durableId="1202548531">
    <w:abstractNumId w:val="5"/>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49" w16cid:durableId="1394309364">
    <w:abstractNumId w:val="5"/>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50" w16cid:durableId="167403837">
    <w:abstractNumId w:val="5"/>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51" w16cid:durableId="540244609">
    <w:abstractNumId w:val="5"/>
    <w:lvlOverride w:ilvl="0">
      <w:lvl w:ilvl="0">
        <w:start w:val="1"/>
        <w:numFmt w:val="bullet"/>
        <w:lvlText w:val="5.2.1 "/>
        <w:legacy w:legacy="1" w:legacySpace="0" w:legacyIndent="0"/>
        <w:lvlJc w:val="left"/>
        <w:pPr>
          <w:ind w:left="0" w:firstLine="0"/>
        </w:pPr>
        <w:rPr>
          <w:rFonts w:ascii="Myriad Pro" w:hAnsi="Myriad Pro" w:hint="default"/>
          <w:b/>
          <w:i w:val="0"/>
          <w:strike w:val="0"/>
          <w:color w:val="000000"/>
          <w:sz w:val="22"/>
          <w:u w:val="none"/>
        </w:rPr>
      </w:lvl>
    </w:lvlOverride>
  </w:num>
  <w:num w:numId="52" w16cid:durableId="201402051">
    <w:abstractNumId w:val="5"/>
    <w:lvlOverride w:ilvl="0">
      <w:lvl w:ilvl="0">
        <w:start w:val="1"/>
        <w:numFmt w:val="bullet"/>
        <w:lvlText w:val="5.2.2 "/>
        <w:legacy w:legacy="1" w:legacySpace="0" w:legacyIndent="0"/>
        <w:lvlJc w:val="left"/>
        <w:pPr>
          <w:ind w:left="0" w:firstLine="0"/>
        </w:pPr>
        <w:rPr>
          <w:rFonts w:ascii="Myriad Pro" w:hAnsi="Myriad Pro" w:hint="default"/>
          <w:b/>
          <w:i w:val="0"/>
          <w:strike w:val="0"/>
          <w:color w:val="000000"/>
          <w:sz w:val="22"/>
          <w:u w:val="none"/>
        </w:rPr>
      </w:lvl>
    </w:lvlOverride>
  </w:num>
  <w:num w:numId="53" w16cid:durableId="1285504993">
    <w:abstractNumId w:val="5"/>
    <w:lvlOverride w:ilvl="0">
      <w:lvl w:ilvl="0">
        <w:start w:val="1"/>
        <w:numFmt w:val="bullet"/>
        <w:lvlText w:val="5.2.3 "/>
        <w:legacy w:legacy="1" w:legacySpace="0" w:legacyIndent="0"/>
        <w:lvlJc w:val="left"/>
        <w:pPr>
          <w:ind w:left="0" w:firstLine="0"/>
        </w:pPr>
        <w:rPr>
          <w:rFonts w:ascii="Myriad Pro" w:hAnsi="Myriad Pro" w:hint="default"/>
          <w:b/>
          <w:i w:val="0"/>
          <w:strike w:val="0"/>
          <w:color w:val="000000"/>
          <w:sz w:val="22"/>
          <w:u w:val="none"/>
        </w:rPr>
      </w:lvl>
    </w:lvlOverride>
  </w:num>
  <w:num w:numId="54" w16cid:durableId="1666594110">
    <w:abstractNumId w:val="5"/>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55" w16cid:durableId="1294096109">
    <w:abstractNumId w:val="5"/>
    <w:lvlOverride w:ilvl="0">
      <w:lvl w:ilvl="0">
        <w:start w:val="1"/>
        <w:numFmt w:val="bullet"/>
        <w:lvlText w:val="5.3.1 "/>
        <w:legacy w:legacy="1" w:legacySpace="0" w:legacyIndent="0"/>
        <w:lvlJc w:val="left"/>
        <w:pPr>
          <w:ind w:left="0" w:firstLine="0"/>
        </w:pPr>
        <w:rPr>
          <w:rFonts w:ascii="Myriad Pro" w:hAnsi="Myriad Pro" w:hint="default"/>
          <w:b/>
          <w:i w:val="0"/>
          <w:strike w:val="0"/>
          <w:color w:val="000000"/>
          <w:sz w:val="22"/>
          <w:u w:val="none"/>
        </w:rPr>
      </w:lvl>
    </w:lvlOverride>
  </w:num>
  <w:num w:numId="56" w16cid:durableId="396561255">
    <w:abstractNumId w:val="5"/>
    <w:lvlOverride w:ilvl="0">
      <w:lvl w:ilvl="0">
        <w:start w:val="1"/>
        <w:numFmt w:val="bullet"/>
        <w:lvlText w:val="5.3.2 "/>
        <w:legacy w:legacy="1" w:legacySpace="0" w:legacyIndent="0"/>
        <w:lvlJc w:val="left"/>
        <w:pPr>
          <w:ind w:left="0" w:firstLine="0"/>
        </w:pPr>
        <w:rPr>
          <w:rFonts w:ascii="Myriad Pro" w:hAnsi="Myriad Pro" w:hint="default"/>
          <w:b/>
          <w:i w:val="0"/>
          <w:strike w:val="0"/>
          <w:color w:val="000000"/>
          <w:sz w:val="22"/>
          <w:u w:val="none"/>
        </w:rPr>
      </w:lvl>
    </w:lvlOverride>
  </w:num>
  <w:num w:numId="57" w16cid:durableId="386801272">
    <w:abstractNumId w:val="5"/>
    <w:lvlOverride w:ilvl="0">
      <w:lvl w:ilvl="0">
        <w:start w:val="1"/>
        <w:numFmt w:val="bullet"/>
        <w:lvlText w:val="5.3.3 "/>
        <w:legacy w:legacy="1" w:legacySpace="0" w:legacyIndent="0"/>
        <w:lvlJc w:val="left"/>
        <w:pPr>
          <w:ind w:left="0" w:firstLine="0"/>
        </w:pPr>
        <w:rPr>
          <w:rFonts w:ascii="Myriad Pro" w:hAnsi="Myriad Pro" w:hint="default"/>
          <w:b/>
          <w:i w:val="0"/>
          <w:strike w:val="0"/>
          <w:color w:val="000000"/>
          <w:sz w:val="22"/>
          <w:u w:val="none"/>
        </w:rPr>
      </w:lvl>
    </w:lvlOverride>
  </w:num>
  <w:num w:numId="58" w16cid:durableId="288827590">
    <w:abstractNumId w:val="5"/>
    <w:lvlOverride w:ilvl="0">
      <w:lvl w:ilvl="0">
        <w:start w:val="1"/>
        <w:numFmt w:val="bullet"/>
        <w:lvlText w:val="5.4 "/>
        <w:legacy w:legacy="1" w:legacySpace="0" w:legacyIndent="0"/>
        <w:lvlJc w:val="left"/>
        <w:pPr>
          <w:ind w:left="0" w:firstLine="0"/>
        </w:pPr>
        <w:rPr>
          <w:rFonts w:ascii="Myriad Pro" w:hAnsi="Myriad Pro" w:hint="default"/>
          <w:b/>
          <w:i w:val="0"/>
          <w:strike w:val="0"/>
          <w:color w:val="000000"/>
          <w:sz w:val="24"/>
          <w:u w:val="none"/>
        </w:rPr>
      </w:lvl>
    </w:lvlOverride>
  </w:num>
  <w:num w:numId="59" w16cid:durableId="1539589156">
    <w:abstractNumId w:val="5"/>
    <w:lvlOverride w:ilvl="0">
      <w:lvl w:ilvl="0">
        <w:start w:val="1"/>
        <w:numFmt w:val="bullet"/>
        <w:lvlText w:val="5.4.1 "/>
        <w:legacy w:legacy="1" w:legacySpace="0" w:legacyIndent="0"/>
        <w:lvlJc w:val="left"/>
        <w:pPr>
          <w:ind w:left="0" w:firstLine="0"/>
        </w:pPr>
        <w:rPr>
          <w:rFonts w:ascii="Myriad Pro" w:hAnsi="Myriad Pro" w:hint="default"/>
          <w:b/>
          <w:i w:val="0"/>
          <w:strike w:val="0"/>
          <w:color w:val="000000"/>
          <w:sz w:val="22"/>
          <w:u w:val="none"/>
        </w:rPr>
      </w:lvl>
    </w:lvlOverride>
  </w:num>
  <w:num w:numId="60" w16cid:durableId="1457481565">
    <w:abstractNumId w:val="5"/>
    <w:lvlOverride w:ilvl="0">
      <w:lvl w:ilvl="0">
        <w:start w:val="1"/>
        <w:numFmt w:val="bullet"/>
        <w:lvlText w:val="5.4.2 "/>
        <w:legacy w:legacy="1" w:legacySpace="0" w:legacyIndent="0"/>
        <w:lvlJc w:val="left"/>
        <w:pPr>
          <w:ind w:left="0" w:firstLine="0"/>
        </w:pPr>
        <w:rPr>
          <w:rFonts w:ascii="Myriad Pro" w:hAnsi="Myriad Pro" w:hint="default"/>
          <w:b/>
          <w:i w:val="0"/>
          <w:strike w:val="0"/>
          <w:color w:val="000000"/>
          <w:sz w:val="22"/>
          <w:u w:val="none"/>
        </w:rPr>
      </w:lvl>
    </w:lvlOverride>
  </w:num>
  <w:num w:numId="61" w16cid:durableId="406919692">
    <w:abstractNumId w:val="5"/>
    <w:lvlOverride w:ilvl="0">
      <w:lvl w:ilvl="0">
        <w:start w:val="1"/>
        <w:numFmt w:val="bullet"/>
        <w:lvlText w:val="5.4.3 "/>
        <w:legacy w:legacy="1" w:legacySpace="0" w:legacyIndent="0"/>
        <w:lvlJc w:val="left"/>
        <w:pPr>
          <w:ind w:left="0" w:firstLine="0"/>
        </w:pPr>
        <w:rPr>
          <w:rFonts w:ascii="Myriad Pro" w:hAnsi="Myriad Pro" w:hint="default"/>
          <w:b/>
          <w:i w:val="0"/>
          <w:strike w:val="0"/>
          <w:color w:val="000000"/>
          <w:sz w:val="22"/>
          <w:u w:val="none"/>
        </w:rPr>
      </w:lvl>
    </w:lvlOverride>
  </w:num>
  <w:num w:numId="62" w16cid:durableId="41757263">
    <w:abstractNumId w:val="5"/>
    <w:lvlOverride w:ilvl="0">
      <w:lvl w:ilvl="0">
        <w:start w:val="1"/>
        <w:numFmt w:val="bullet"/>
        <w:lvlText w:val="5.4.4 "/>
        <w:legacy w:legacy="1" w:legacySpace="0" w:legacyIndent="0"/>
        <w:lvlJc w:val="left"/>
        <w:pPr>
          <w:ind w:left="0" w:firstLine="0"/>
        </w:pPr>
        <w:rPr>
          <w:rFonts w:ascii="Myriad Pro" w:hAnsi="Myriad Pro" w:hint="default"/>
          <w:b/>
          <w:i w:val="0"/>
          <w:strike w:val="0"/>
          <w:color w:val="000000"/>
          <w:sz w:val="22"/>
          <w:u w:val="none"/>
        </w:rPr>
      </w:lvl>
    </w:lvlOverride>
  </w:num>
  <w:num w:numId="63" w16cid:durableId="1677878095">
    <w:abstractNumId w:val="5"/>
    <w:lvlOverride w:ilvl="0">
      <w:lvl w:ilvl="0">
        <w:start w:val="1"/>
        <w:numFmt w:val="bullet"/>
        <w:lvlText w:val="5.5 "/>
        <w:legacy w:legacy="1" w:legacySpace="0" w:legacyIndent="0"/>
        <w:lvlJc w:val="left"/>
        <w:pPr>
          <w:ind w:left="0" w:firstLine="0"/>
        </w:pPr>
        <w:rPr>
          <w:rFonts w:ascii="Myriad Pro" w:hAnsi="Myriad Pro" w:hint="default"/>
          <w:b/>
          <w:i w:val="0"/>
          <w:strike w:val="0"/>
          <w:color w:val="000000"/>
          <w:sz w:val="24"/>
          <w:u w:val="none"/>
        </w:rPr>
      </w:lvl>
    </w:lvlOverride>
  </w:num>
  <w:num w:numId="64" w16cid:durableId="319771936">
    <w:abstractNumId w:val="5"/>
    <w:lvlOverride w:ilvl="0">
      <w:lvl w:ilvl="0">
        <w:start w:val="1"/>
        <w:numFmt w:val="bullet"/>
        <w:lvlText w:val="5.5.1 "/>
        <w:legacy w:legacy="1" w:legacySpace="0" w:legacyIndent="0"/>
        <w:lvlJc w:val="left"/>
        <w:pPr>
          <w:ind w:left="0" w:firstLine="0"/>
        </w:pPr>
        <w:rPr>
          <w:rFonts w:ascii="Myriad Pro" w:hAnsi="Myriad Pro" w:hint="default"/>
          <w:b/>
          <w:i w:val="0"/>
          <w:strike w:val="0"/>
          <w:color w:val="000000"/>
          <w:sz w:val="22"/>
          <w:u w:val="none"/>
        </w:rPr>
      </w:lvl>
    </w:lvlOverride>
  </w:num>
  <w:num w:numId="65" w16cid:durableId="4016750">
    <w:abstractNumId w:val="5"/>
    <w:lvlOverride w:ilvl="0">
      <w:lvl w:ilvl="0">
        <w:start w:val="1"/>
        <w:numFmt w:val="bullet"/>
        <w:lvlText w:val="5.5.2 "/>
        <w:legacy w:legacy="1" w:legacySpace="0" w:legacyIndent="0"/>
        <w:lvlJc w:val="left"/>
        <w:pPr>
          <w:ind w:left="0" w:firstLine="0"/>
        </w:pPr>
        <w:rPr>
          <w:rFonts w:ascii="Myriad Pro" w:hAnsi="Myriad Pro" w:hint="default"/>
          <w:b/>
          <w:i w:val="0"/>
          <w:strike w:val="0"/>
          <w:color w:val="000000"/>
          <w:sz w:val="22"/>
          <w:u w:val="none"/>
        </w:rPr>
      </w:lvl>
    </w:lvlOverride>
  </w:num>
  <w:num w:numId="66" w16cid:durableId="813252008">
    <w:abstractNumId w:val="5"/>
    <w:lvlOverride w:ilvl="0">
      <w:lvl w:ilvl="0">
        <w:start w:val="1"/>
        <w:numFmt w:val="bullet"/>
        <w:lvlText w:val="5.5.3 "/>
        <w:legacy w:legacy="1" w:legacySpace="0" w:legacyIndent="0"/>
        <w:lvlJc w:val="left"/>
        <w:pPr>
          <w:ind w:left="0" w:firstLine="0"/>
        </w:pPr>
        <w:rPr>
          <w:rFonts w:ascii="Myriad Pro" w:hAnsi="Myriad Pro" w:hint="default"/>
          <w:b/>
          <w:i w:val="0"/>
          <w:strike w:val="0"/>
          <w:color w:val="000000"/>
          <w:sz w:val="22"/>
          <w:u w:val="none"/>
        </w:rPr>
      </w:lvl>
    </w:lvlOverride>
  </w:num>
  <w:num w:numId="67" w16cid:durableId="224991898">
    <w:abstractNumId w:val="5"/>
    <w:lvlOverride w:ilvl="0">
      <w:lvl w:ilvl="0">
        <w:start w:val="1"/>
        <w:numFmt w:val="bullet"/>
        <w:lvlText w:val="5.5.3.1 "/>
        <w:legacy w:legacy="1" w:legacySpace="0" w:legacyIndent="0"/>
        <w:lvlJc w:val="left"/>
        <w:pPr>
          <w:ind w:left="0" w:firstLine="0"/>
        </w:pPr>
        <w:rPr>
          <w:rFonts w:ascii="Myriad Pro" w:hAnsi="Myriad Pro" w:hint="default"/>
          <w:b w:val="0"/>
          <w:i/>
          <w:strike w:val="0"/>
          <w:color w:val="000000"/>
          <w:sz w:val="22"/>
          <w:u w:val="none"/>
        </w:rPr>
      </w:lvl>
    </w:lvlOverride>
  </w:num>
  <w:num w:numId="68" w16cid:durableId="860314979">
    <w:abstractNumId w:val="5"/>
    <w:lvlOverride w:ilvl="0">
      <w:lvl w:ilvl="0">
        <w:start w:val="1"/>
        <w:numFmt w:val="bullet"/>
        <w:lvlText w:val="5.5.3.2 "/>
        <w:legacy w:legacy="1" w:legacySpace="0" w:legacyIndent="0"/>
        <w:lvlJc w:val="left"/>
        <w:pPr>
          <w:ind w:left="0" w:firstLine="0"/>
        </w:pPr>
        <w:rPr>
          <w:rFonts w:ascii="Myriad Pro" w:hAnsi="Myriad Pro" w:hint="default"/>
          <w:b w:val="0"/>
          <w:i/>
          <w:strike w:val="0"/>
          <w:color w:val="000000"/>
          <w:sz w:val="22"/>
          <w:u w:val="none"/>
        </w:rPr>
      </w:lvl>
    </w:lvlOverride>
  </w:num>
  <w:num w:numId="69" w16cid:durableId="1549607359">
    <w:abstractNumId w:val="5"/>
    <w:lvlOverride w:ilvl="0">
      <w:lvl w:ilvl="0">
        <w:start w:val="1"/>
        <w:numFmt w:val="bullet"/>
        <w:lvlText w:val="5.5.3.3 "/>
        <w:legacy w:legacy="1" w:legacySpace="0" w:legacyIndent="0"/>
        <w:lvlJc w:val="left"/>
        <w:pPr>
          <w:ind w:left="0" w:firstLine="0"/>
        </w:pPr>
        <w:rPr>
          <w:rFonts w:ascii="Myriad Pro" w:hAnsi="Myriad Pro" w:hint="default"/>
          <w:b w:val="0"/>
          <w:i/>
          <w:strike w:val="0"/>
          <w:color w:val="000000"/>
          <w:sz w:val="22"/>
          <w:u w:val="none"/>
        </w:rPr>
      </w:lvl>
    </w:lvlOverride>
  </w:num>
  <w:num w:numId="70" w16cid:durableId="1416173966">
    <w:abstractNumId w:val="5"/>
    <w:lvlOverride w:ilvl="0">
      <w:lvl w:ilvl="0">
        <w:start w:val="1"/>
        <w:numFmt w:val="bullet"/>
        <w:lvlText w:val="5.5.3.4 "/>
        <w:legacy w:legacy="1" w:legacySpace="0" w:legacyIndent="0"/>
        <w:lvlJc w:val="left"/>
        <w:pPr>
          <w:ind w:left="0" w:firstLine="0"/>
        </w:pPr>
        <w:rPr>
          <w:rFonts w:ascii="Myriad Pro" w:hAnsi="Myriad Pro" w:hint="default"/>
          <w:b w:val="0"/>
          <w:i/>
          <w:strike w:val="0"/>
          <w:color w:val="000000"/>
          <w:sz w:val="22"/>
          <w:u w:val="none"/>
        </w:rPr>
      </w:lvl>
    </w:lvlOverride>
  </w:num>
  <w:num w:numId="71" w16cid:durableId="245773411">
    <w:abstractNumId w:val="5"/>
    <w:lvlOverride w:ilvl="0">
      <w:lvl w:ilvl="0">
        <w:start w:val="1"/>
        <w:numFmt w:val="bullet"/>
        <w:lvlText w:val="5.5.3.5 "/>
        <w:legacy w:legacy="1" w:legacySpace="0" w:legacyIndent="0"/>
        <w:lvlJc w:val="left"/>
        <w:pPr>
          <w:ind w:left="0" w:firstLine="0"/>
        </w:pPr>
        <w:rPr>
          <w:rFonts w:ascii="Myriad Pro" w:hAnsi="Myriad Pro" w:hint="default"/>
          <w:b w:val="0"/>
          <w:i/>
          <w:strike w:val="0"/>
          <w:color w:val="000000"/>
          <w:sz w:val="22"/>
          <w:u w:val="none"/>
        </w:rPr>
      </w:lvl>
    </w:lvlOverride>
  </w:num>
  <w:num w:numId="72" w16cid:durableId="1714841234">
    <w:abstractNumId w:val="5"/>
    <w:lvlOverride w:ilvl="0">
      <w:lvl w:ilvl="0">
        <w:start w:val="1"/>
        <w:numFmt w:val="bullet"/>
        <w:lvlText w:val="5.5.3.6 "/>
        <w:legacy w:legacy="1" w:legacySpace="0" w:legacyIndent="0"/>
        <w:lvlJc w:val="left"/>
        <w:pPr>
          <w:ind w:left="0" w:firstLine="0"/>
        </w:pPr>
        <w:rPr>
          <w:rFonts w:ascii="Myriad Pro" w:hAnsi="Myriad Pro" w:hint="default"/>
          <w:b w:val="0"/>
          <w:i/>
          <w:strike w:val="0"/>
          <w:color w:val="000000"/>
          <w:sz w:val="22"/>
          <w:u w:val="none"/>
        </w:rPr>
      </w:lvl>
    </w:lvlOverride>
  </w:num>
  <w:num w:numId="73" w16cid:durableId="861823079">
    <w:abstractNumId w:val="5"/>
    <w:lvlOverride w:ilvl="0">
      <w:lvl w:ilvl="0">
        <w:start w:val="1"/>
        <w:numFmt w:val="bullet"/>
        <w:lvlText w:val="5.5.3.7 "/>
        <w:legacy w:legacy="1" w:legacySpace="0" w:legacyIndent="0"/>
        <w:lvlJc w:val="left"/>
        <w:pPr>
          <w:ind w:left="0" w:firstLine="0"/>
        </w:pPr>
        <w:rPr>
          <w:rFonts w:ascii="Myriad Pro" w:hAnsi="Myriad Pro" w:hint="default"/>
          <w:b w:val="0"/>
          <w:i/>
          <w:strike w:val="0"/>
          <w:color w:val="000000"/>
          <w:sz w:val="22"/>
          <w:u w:val="none"/>
        </w:rPr>
      </w:lvl>
    </w:lvlOverride>
  </w:num>
  <w:num w:numId="74" w16cid:durableId="257563008">
    <w:abstractNumId w:val="5"/>
    <w:lvlOverride w:ilvl="0">
      <w:lvl w:ilvl="0">
        <w:start w:val="1"/>
        <w:numFmt w:val="bullet"/>
        <w:lvlText w:val="5.5.3.8 "/>
        <w:legacy w:legacy="1" w:legacySpace="0" w:legacyIndent="0"/>
        <w:lvlJc w:val="left"/>
        <w:pPr>
          <w:ind w:left="0" w:firstLine="0"/>
        </w:pPr>
        <w:rPr>
          <w:rFonts w:ascii="Myriad Pro" w:hAnsi="Myriad Pro" w:hint="default"/>
          <w:b w:val="0"/>
          <w:i/>
          <w:strike w:val="0"/>
          <w:color w:val="000000"/>
          <w:sz w:val="22"/>
          <w:u w:val="none"/>
        </w:rPr>
      </w:lvl>
    </w:lvlOverride>
  </w:num>
  <w:num w:numId="75" w16cid:durableId="1973172918">
    <w:abstractNumId w:val="5"/>
    <w:lvlOverride w:ilvl="0">
      <w:lvl w:ilvl="0">
        <w:start w:val="1"/>
        <w:numFmt w:val="bullet"/>
        <w:lvlText w:val="5.5.3.9 "/>
        <w:legacy w:legacy="1" w:legacySpace="0" w:legacyIndent="0"/>
        <w:lvlJc w:val="left"/>
        <w:pPr>
          <w:ind w:left="0" w:firstLine="0"/>
        </w:pPr>
        <w:rPr>
          <w:rFonts w:ascii="Myriad Pro" w:hAnsi="Myriad Pro" w:hint="default"/>
          <w:b w:val="0"/>
          <w:i/>
          <w:strike w:val="0"/>
          <w:color w:val="000000"/>
          <w:sz w:val="22"/>
          <w:u w:val="none"/>
        </w:rPr>
      </w:lvl>
    </w:lvlOverride>
  </w:num>
  <w:num w:numId="76" w16cid:durableId="121658017">
    <w:abstractNumId w:val="5"/>
    <w:lvlOverride w:ilvl="0">
      <w:lvl w:ilvl="0">
        <w:start w:val="1"/>
        <w:numFmt w:val="bullet"/>
        <w:lvlText w:val="5.5.3.10 "/>
        <w:legacy w:legacy="1" w:legacySpace="0" w:legacyIndent="0"/>
        <w:lvlJc w:val="left"/>
        <w:pPr>
          <w:ind w:left="0" w:firstLine="0"/>
        </w:pPr>
        <w:rPr>
          <w:rFonts w:ascii="Myriad Pro" w:hAnsi="Myriad Pro" w:hint="default"/>
          <w:b w:val="0"/>
          <w:i/>
          <w:strike w:val="0"/>
          <w:color w:val="000000"/>
          <w:sz w:val="22"/>
          <w:u w:val="none"/>
        </w:rPr>
      </w:lvl>
    </w:lvlOverride>
  </w:num>
  <w:num w:numId="77" w16cid:durableId="302544775">
    <w:abstractNumId w:val="5"/>
    <w:lvlOverride w:ilvl="0">
      <w:lvl w:ilvl="0">
        <w:start w:val="1"/>
        <w:numFmt w:val="bullet"/>
        <w:lvlText w:val="5.5.4 "/>
        <w:legacy w:legacy="1" w:legacySpace="0" w:legacyIndent="0"/>
        <w:lvlJc w:val="left"/>
        <w:pPr>
          <w:ind w:left="0" w:firstLine="0"/>
        </w:pPr>
        <w:rPr>
          <w:rFonts w:ascii="Myriad Pro" w:hAnsi="Myriad Pro" w:hint="default"/>
          <w:b/>
          <w:i w:val="0"/>
          <w:strike w:val="0"/>
          <w:color w:val="000000"/>
          <w:sz w:val="22"/>
          <w:u w:val="none"/>
        </w:rPr>
      </w:lvl>
    </w:lvlOverride>
  </w:num>
  <w:num w:numId="78" w16cid:durableId="1377008173">
    <w:abstractNumId w:val="5"/>
    <w:lvlOverride w:ilvl="0">
      <w:lvl w:ilvl="0">
        <w:start w:val="1"/>
        <w:numFmt w:val="bullet"/>
        <w:lvlText w:val="5.5.5 "/>
        <w:legacy w:legacy="1" w:legacySpace="0" w:legacyIndent="0"/>
        <w:lvlJc w:val="left"/>
        <w:pPr>
          <w:ind w:left="0" w:firstLine="0"/>
        </w:pPr>
        <w:rPr>
          <w:rFonts w:ascii="Myriad Pro" w:hAnsi="Myriad Pro" w:hint="default"/>
          <w:b/>
          <w:i w:val="0"/>
          <w:strike w:val="0"/>
          <w:color w:val="000000"/>
          <w:sz w:val="22"/>
          <w:u w:val="none"/>
        </w:rPr>
      </w:lvl>
    </w:lvlOverride>
  </w:num>
  <w:num w:numId="79" w16cid:durableId="1675067390">
    <w:abstractNumId w:val="5"/>
    <w:lvlOverride w:ilvl="0">
      <w:lvl w:ilvl="0">
        <w:start w:val="1"/>
        <w:numFmt w:val="bullet"/>
        <w:lvlText w:val="5.5.6 "/>
        <w:legacy w:legacy="1" w:legacySpace="0" w:legacyIndent="0"/>
        <w:lvlJc w:val="left"/>
        <w:pPr>
          <w:ind w:left="0" w:firstLine="0"/>
        </w:pPr>
        <w:rPr>
          <w:rFonts w:ascii="Myriad Pro" w:hAnsi="Myriad Pro" w:hint="default"/>
          <w:b/>
          <w:i w:val="0"/>
          <w:strike w:val="0"/>
          <w:color w:val="000000"/>
          <w:sz w:val="22"/>
          <w:u w:val="none"/>
        </w:rPr>
      </w:lvl>
    </w:lvlOverride>
  </w:num>
  <w:num w:numId="80" w16cid:durableId="395671108">
    <w:abstractNumId w:val="5"/>
    <w:lvlOverride w:ilvl="0">
      <w:lvl w:ilvl="0">
        <w:start w:val="1"/>
        <w:numFmt w:val="bullet"/>
        <w:lvlText w:val="5.6 "/>
        <w:legacy w:legacy="1" w:legacySpace="0" w:legacyIndent="0"/>
        <w:lvlJc w:val="left"/>
        <w:pPr>
          <w:ind w:left="0" w:firstLine="0"/>
        </w:pPr>
        <w:rPr>
          <w:rFonts w:ascii="Myriad Pro" w:hAnsi="Myriad Pro" w:hint="default"/>
          <w:b/>
          <w:i w:val="0"/>
          <w:strike w:val="0"/>
          <w:color w:val="000000"/>
          <w:sz w:val="24"/>
          <w:u w:val="none"/>
        </w:rPr>
      </w:lvl>
    </w:lvlOverride>
  </w:num>
  <w:num w:numId="81" w16cid:durableId="1626353043">
    <w:abstractNumId w:val="5"/>
    <w:lvlOverride w:ilvl="0">
      <w:lvl w:ilvl="0">
        <w:start w:val="1"/>
        <w:numFmt w:val="bullet"/>
        <w:lvlText w:val="5.6.1 "/>
        <w:legacy w:legacy="1" w:legacySpace="0" w:legacyIndent="0"/>
        <w:lvlJc w:val="left"/>
        <w:pPr>
          <w:ind w:left="0" w:firstLine="0"/>
        </w:pPr>
        <w:rPr>
          <w:rFonts w:ascii="Myriad Pro" w:hAnsi="Myriad Pro" w:hint="default"/>
          <w:b/>
          <w:i w:val="0"/>
          <w:strike w:val="0"/>
          <w:color w:val="000000"/>
          <w:sz w:val="22"/>
          <w:u w:val="none"/>
        </w:rPr>
      </w:lvl>
    </w:lvlOverride>
  </w:num>
  <w:num w:numId="82" w16cid:durableId="202403818">
    <w:abstractNumId w:val="5"/>
    <w:lvlOverride w:ilvl="0">
      <w:lvl w:ilvl="0">
        <w:start w:val="1"/>
        <w:numFmt w:val="bullet"/>
        <w:lvlText w:val="5.6.2 "/>
        <w:legacy w:legacy="1" w:legacySpace="0" w:legacyIndent="0"/>
        <w:lvlJc w:val="left"/>
        <w:pPr>
          <w:ind w:left="0" w:firstLine="0"/>
        </w:pPr>
        <w:rPr>
          <w:rFonts w:ascii="Myriad Pro" w:hAnsi="Myriad Pro" w:hint="default"/>
          <w:b/>
          <w:i w:val="0"/>
          <w:strike w:val="0"/>
          <w:color w:val="000000"/>
          <w:sz w:val="22"/>
          <w:u w:val="none"/>
        </w:rPr>
      </w:lvl>
    </w:lvlOverride>
  </w:num>
  <w:num w:numId="83" w16cid:durableId="594705517">
    <w:abstractNumId w:val="5"/>
    <w:lvlOverride w:ilvl="0">
      <w:lvl w:ilvl="0">
        <w:start w:val="1"/>
        <w:numFmt w:val="bullet"/>
        <w:lvlText w:val="5.6.3 "/>
        <w:legacy w:legacy="1" w:legacySpace="0" w:legacyIndent="0"/>
        <w:lvlJc w:val="left"/>
        <w:pPr>
          <w:ind w:left="0" w:firstLine="0"/>
        </w:pPr>
        <w:rPr>
          <w:rFonts w:ascii="Myriad Pro" w:hAnsi="Myriad Pro" w:hint="default"/>
          <w:b/>
          <w:i w:val="0"/>
          <w:strike w:val="0"/>
          <w:color w:val="000000"/>
          <w:sz w:val="22"/>
          <w:u w:val="none"/>
        </w:rPr>
      </w:lvl>
    </w:lvlOverride>
  </w:num>
  <w:num w:numId="84" w16cid:durableId="1165433358">
    <w:abstractNumId w:val="5"/>
    <w:lvlOverride w:ilvl="0">
      <w:lvl w:ilvl="0">
        <w:start w:val="1"/>
        <w:numFmt w:val="bullet"/>
        <w:lvlText w:val="5.7 "/>
        <w:legacy w:legacy="1" w:legacySpace="0" w:legacyIndent="0"/>
        <w:lvlJc w:val="left"/>
        <w:pPr>
          <w:ind w:left="0" w:firstLine="0"/>
        </w:pPr>
        <w:rPr>
          <w:rFonts w:ascii="Myriad Pro" w:hAnsi="Myriad Pro" w:hint="default"/>
          <w:b/>
          <w:i w:val="0"/>
          <w:strike w:val="0"/>
          <w:color w:val="000000"/>
          <w:sz w:val="24"/>
          <w:u w:val="none"/>
        </w:rPr>
      </w:lvl>
    </w:lvlOverride>
  </w:num>
  <w:num w:numId="85" w16cid:durableId="1183670188">
    <w:abstractNumId w:val="5"/>
    <w:lvlOverride w:ilvl="0">
      <w:lvl w:ilvl="0">
        <w:start w:val="1"/>
        <w:numFmt w:val="bullet"/>
        <w:lvlText w:val="5.7.1 "/>
        <w:legacy w:legacy="1" w:legacySpace="0" w:legacyIndent="0"/>
        <w:lvlJc w:val="left"/>
        <w:pPr>
          <w:ind w:left="0" w:firstLine="0"/>
        </w:pPr>
        <w:rPr>
          <w:rFonts w:ascii="Myriad Pro" w:hAnsi="Myriad Pro" w:hint="default"/>
          <w:b/>
          <w:i w:val="0"/>
          <w:strike w:val="0"/>
          <w:color w:val="000000"/>
          <w:sz w:val="22"/>
          <w:u w:val="none"/>
        </w:rPr>
      </w:lvl>
    </w:lvlOverride>
  </w:num>
  <w:num w:numId="86" w16cid:durableId="199634389">
    <w:abstractNumId w:val="5"/>
    <w:lvlOverride w:ilvl="0">
      <w:lvl w:ilvl="0">
        <w:start w:val="1"/>
        <w:numFmt w:val="bullet"/>
        <w:lvlText w:val="5.7.2 "/>
        <w:legacy w:legacy="1" w:legacySpace="0" w:legacyIndent="0"/>
        <w:lvlJc w:val="left"/>
        <w:pPr>
          <w:ind w:left="0" w:firstLine="0"/>
        </w:pPr>
        <w:rPr>
          <w:rFonts w:ascii="Myriad Pro" w:hAnsi="Myriad Pro" w:hint="default"/>
          <w:b/>
          <w:i w:val="0"/>
          <w:strike w:val="0"/>
          <w:color w:val="000000"/>
          <w:sz w:val="22"/>
          <w:u w:val="none"/>
        </w:rPr>
      </w:lvl>
    </w:lvlOverride>
  </w:num>
  <w:num w:numId="87" w16cid:durableId="1834711890">
    <w:abstractNumId w:val="5"/>
    <w:lvlOverride w:ilvl="0">
      <w:lvl w:ilvl="0">
        <w:start w:val="1"/>
        <w:numFmt w:val="bullet"/>
        <w:lvlText w:val="5.7.3 "/>
        <w:legacy w:legacy="1" w:legacySpace="0" w:legacyIndent="0"/>
        <w:lvlJc w:val="left"/>
        <w:pPr>
          <w:ind w:left="0" w:firstLine="0"/>
        </w:pPr>
        <w:rPr>
          <w:rFonts w:ascii="Myriad Pro" w:hAnsi="Myriad Pro" w:hint="default"/>
          <w:b/>
          <w:i w:val="0"/>
          <w:strike w:val="0"/>
          <w:color w:val="000000"/>
          <w:sz w:val="22"/>
          <w:u w:val="none"/>
        </w:rPr>
      </w:lvl>
    </w:lvlOverride>
  </w:num>
  <w:num w:numId="88" w16cid:durableId="1256550689">
    <w:abstractNumId w:val="5"/>
    <w:lvlOverride w:ilvl="0">
      <w:lvl w:ilvl="0">
        <w:start w:val="1"/>
        <w:numFmt w:val="bullet"/>
        <w:lvlText w:val="5.8 "/>
        <w:legacy w:legacy="1" w:legacySpace="0" w:legacyIndent="0"/>
        <w:lvlJc w:val="left"/>
        <w:pPr>
          <w:ind w:left="0" w:firstLine="0"/>
        </w:pPr>
        <w:rPr>
          <w:rFonts w:ascii="Myriad Pro" w:hAnsi="Myriad Pro" w:hint="default"/>
          <w:b/>
          <w:i w:val="0"/>
          <w:strike w:val="0"/>
          <w:color w:val="000000"/>
          <w:sz w:val="24"/>
          <w:u w:val="none"/>
        </w:rPr>
      </w:lvl>
    </w:lvlOverride>
  </w:num>
  <w:num w:numId="89" w16cid:durableId="1154755089">
    <w:abstractNumId w:val="5"/>
    <w:lvlOverride w:ilvl="0">
      <w:lvl w:ilvl="0">
        <w:start w:val="1"/>
        <w:numFmt w:val="bullet"/>
        <w:lvlText w:val="5.8.1 "/>
        <w:legacy w:legacy="1" w:legacySpace="0" w:legacyIndent="0"/>
        <w:lvlJc w:val="left"/>
        <w:pPr>
          <w:ind w:left="0" w:firstLine="0"/>
        </w:pPr>
        <w:rPr>
          <w:rFonts w:ascii="Myriad Pro" w:hAnsi="Myriad Pro" w:hint="default"/>
          <w:b/>
          <w:i w:val="0"/>
          <w:strike w:val="0"/>
          <w:color w:val="000000"/>
          <w:sz w:val="22"/>
          <w:u w:val="none"/>
        </w:rPr>
      </w:lvl>
    </w:lvlOverride>
  </w:num>
  <w:num w:numId="90" w16cid:durableId="2051954793">
    <w:abstractNumId w:val="5"/>
    <w:lvlOverride w:ilvl="0">
      <w:lvl w:ilvl="0">
        <w:start w:val="1"/>
        <w:numFmt w:val="bullet"/>
        <w:lvlText w:val="5.8.2 "/>
        <w:legacy w:legacy="1" w:legacySpace="0" w:legacyIndent="0"/>
        <w:lvlJc w:val="left"/>
        <w:pPr>
          <w:ind w:left="0" w:firstLine="0"/>
        </w:pPr>
        <w:rPr>
          <w:rFonts w:ascii="Myriad Pro" w:hAnsi="Myriad Pro" w:hint="default"/>
          <w:b/>
          <w:i w:val="0"/>
          <w:strike w:val="0"/>
          <w:color w:val="000000"/>
          <w:sz w:val="22"/>
          <w:u w:val="none"/>
        </w:rPr>
      </w:lvl>
    </w:lvlOverride>
  </w:num>
  <w:num w:numId="91" w16cid:durableId="1991979177">
    <w:abstractNumId w:val="5"/>
    <w:lvlOverride w:ilvl="0">
      <w:lvl w:ilvl="0">
        <w:start w:val="1"/>
        <w:numFmt w:val="bullet"/>
        <w:lvlText w:val="5.8.3 "/>
        <w:legacy w:legacy="1" w:legacySpace="0" w:legacyIndent="0"/>
        <w:lvlJc w:val="left"/>
        <w:pPr>
          <w:ind w:left="0" w:firstLine="0"/>
        </w:pPr>
        <w:rPr>
          <w:rFonts w:ascii="Myriad Pro" w:hAnsi="Myriad Pro" w:hint="default"/>
          <w:b/>
          <w:i w:val="0"/>
          <w:strike w:val="0"/>
          <w:color w:val="000000"/>
          <w:sz w:val="22"/>
          <w:u w:val="none"/>
        </w:rPr>
      </w:lvl>
    </w:lvlOverride>
  </w:num>
  <w:num w:numId="92" w16cid:durableId="292516475">
    <w:abstractNumId w:val="5"/>
    <w:lvlOverride w:ilvl="0">
      <w:lvl w:ilvl="0">
        <w:start w:val="1"/>
        <w:numFmt w:val="bullet"/>
        <w:lvlText w:val="5.9 "/>
        <w:legacy w:legacy="1" w:legacySpace="0" w:legacyIndent="0"/>
        <w:lvlJc w:val="left"/>
        <w:pPr>
          <w:ind w:left="0" w:firstLine="0"/>
        </w:pPr>
        <w:rPr>
          <w:rFonts w:ascii="Myriad Pro" w:hAnsi="Myriad Pro" w:hint="default"/>
          <w:b/>
          <w:i w:val="0"/>
          <w:strike w:val="0"/>
          <w:color w:val="000000"/>
          <w:sz w:val="24"/>
          <w:u w:val="none"/>
        </w:rPr>
      </w:lvl>
    </w:lvlOverride>
  </w:num>
  <w:num w:numId="93" w16cid:durableId="650912134">
    <w:abstractNumId w:val="5"/>
    <w:lvlOverride w:ilvl="0">
      <w:lvl w:ilvl="0">
        <w:start w:val="1"/>
        <w:numFmt w:val="bullet"/>
        <w:lvlText w:val="5.9.1 "/>
        <w:legacy w:legacy="1" w:legacySpace="0" w:legacyIndent="0"/>
        <w:lvlJc w:val="left"/>
        <w:pPr>
          <w:ind w:left="0" w:firstLine="0"/>
        </w:pPr>
        <w:rPr>
          <w:rFonts w:ascii="Myriad Pro" w:hAnsi="Myriad Pro" w:hint="default"/>
          <w:b/>
          <w:i w:val="0"/>
          <w:strike w:val="0"/>
          <w:color w:val="000000"/>
          <w:sz w:val="22"/>
          <w:u w:val="none"/>
        </w:rPr>
      </w:lvl>
    </w:lvlOverride>
  </w:num>
  <w:num w:numId="94" w16cid:durableId="1346589364">
    <w:abstractNumId w:val="5"/>
    <w:lvlOverride w:ilvl="0">
      <w:lvl w:ilvl="0">
        <w:start w:val="1"/>
        <w:numFmt w:val="bullet"/>
        <w:lvlText w:val="5.9.2 "/>
        <w:legacy w:legacy="1" w:legacySpace="0" w:legacyIndent="0"/>
        <w:lvlJc w:val="left"/>
        <w:pPr>
          <w:ind w:left="0" w:firstLine="0"/>
        </w:pPr>
        <w:rPr>
          <w:rFonts w:ascii="Myriad Pro" w:hAnsi="Myriad Pro" w:hint="default"/>
          <w:b/>
          <w:i w:val="0"/>
          <w:strike w:val="0"/>
          <w:color w:val="000000"/>
          <w:sz w:val="22"/>
          <w:u w:val="none"/>
        </w:rPr>
      </w:lvl>
    </w:lvlOverride>
  </w:num>
  <w:num w:numId="95" w16cid:durableId="90589170">
    <w:abstractNumId w:val="5"/>
    <w:lvlOverride w:ilvl="0">
      <w:lvl w:ilvl="0">
        <w:start w:val="1"/>
        <w:numFmt w:val="bullet"/>
        <w:lvlText w:val="5.9.3 "/>
        <w:legacy w:legacy="1" w:legacySpace="0" w:legacyIndent="0"/>
        <w:lvlJc w:val="left"/>
        <w:pPr>
          <w:ind w:left="0" w:firstLine="0"/>
        </w:pPr>
        <w:rPr>
          <w:rFonts w:ascii="Myriad Pro" w:hAnsi="Myriad Pro" w:hint="default"/>
          <w:b/>
          <w:i w:val="0"/>
          <w:strike w:val="0"/>
          <w:color w:val="000000"/>
          <w:sz w:val="22"/>
          <w:u w:val="none"/>
        </w:rPr>
      </w:lvl>
    </w:lvlOverride>
  </w:num>
  <w:num w:numId="96" w16cid:durableId="1694309220">
    <w:abstractNumId w:val="5"/>
    <w:lvlOverride w:ilvl="0">
      <w:lvl w:ilvl="0">
        <w:start w:val="1"/>
        <w:numFmt w:val="bullet"/>
        <w:lvlText w:val="5.10 "/>
        <w:legacy w:legacy="1" w:legacySpace="0" w:legacyIndent="0"/>
        <w:lvlJc w:val="left"/>
        <w:pPr>
          <w:ind w:left="0" w:firstLine="0"/>
        </w:pPr>
        <w:rPr>
          <w:rFonts w:ascii="Myriad Pro" w:hAnsi="Myriad Pro" w:hint="default"/>
          <w:b/>
          <w:i w:val="0"/>
          <w:strike w:val="0"/>
          <w:color w:val="000000"/>
          <w:sz w:val="24"/>
          <w:u w:val="none"/>
        </w:rPr>
      </w:lvl>
    </w:lvlOverride>
  </w:num>
  <w:num w:numId="97" w16cid:durableId="27024638">
    <w:abstractNumId w:val="5"/>
    <w:lvlOverride w:ilvl="0">
      <w:lvl w:ilvl="0">
        <w:start w:val="1"/>
        <w:numFmt w:val="bullet"/>
        <w:lvlText w:val="5.10.1 "/>
        <w:legacy w:legacy="1" w:legacySpace="0" w:legacyIndent="0"/>
        <w:lvlJc w:val="left"/>
        <w:pPr>
          <w:ind w:left="0" w:firstLine="0"/>
        </w:pPr>
        <w:rPr>
          <w:rFonts w:ascii="Myriad Pro" w:hAnsi="Myriad Pro" w:hint="default"/>
          <w:b/>
          <w:i w:val="0"/>
          <w:strike w:val="0"/>
          <w:color w:val="000000"/>
          <w:sz w:val="22"/>
          <w:u w:val="none"/>
        </w:rPr>
      </w:lvl>
    </w:lvlOverride>
  </w:num>
  <w:num w:numId="98" w16cid:durableId="1120029155">
    <w:abstractNumId w:val="5"/>
    <w:lvlOverride w:ilvl="0">
      <w:lvl w:ilvl="0">
        <w:start w:val="1"/>
        <w:numFmt w:val="bullet"/>
        <w:lvlText w:val="5.10.2 "/>
        <w:legacy w:legacy="1" w:legacySpace="0" w:legacyIndent="0"/>
        <w:lvlJc w:val="left"/>
        <w:pPr>
          <w:ind w:left="0" w:firstLine="0"/>
        </w:pPr>
        <w:rPr>
          <w:rFonts w:ascii="Myriad Pro" w:hAnsi="Myriad Pro" w:hint="default"/>
          <w:b/>
          <w:i w:val="0"/>
          <w:strike w:val="0"/>
          <w:color w:val="000000"/>
          <w:sz w:val="22"/>
          <w:u w:val="none"/>
        </w:rPr>
      </w:lvl>
    </w:lvlOverride>
  </w:num>
  <w:num w:numId="99" w16cid:durableId="1349332235">
    <w:abstractNumId w:val="5"/>
    <w:lvlOverride w:ilvl="0">
      <w:lvl w:ilvl="0">
        <w:start w:val="1"/>
        <w:numFmt w:val="bullet"/>
        <w:lvlText w:val="5.10.3 "/>
        <w:legacy w:legacy="1" w:legacySpace="0" w:legacyIndent="0"/>
        <w:lvlJc w:val="left"/>
        <w:pPr>
          <w:ind w:left="0" w:firstLine="0"/>
        </w:pPr>
        <w:rPr>
          <w:rFonts w:ascii="Myriad Pro" w:hAnsi="Myriad Pro" w:hint="default"/>
          <w:b/>
          <w:i w:val="0"/>
          <w:strike w:val="0"/>
          <w:color w:val="000000"/>
          <w:sz w:val="22"/>
          <w:u w:val="none"/>
        </w:rPr>
      </w:lvl>
    </w:lvlOverride>
  </w:num>
  <w:num w:numId="100" w16cid:durableId="1210604915">
    <w:abstractNumId w:val="5"/>
    <w:lvlOverride w:ilvl="0">
      <w:lvl w:ilvl="0">
        <w:start w:val="1"/>
        <w:numFmt w:val="bullet"/>
        <w:lvlText w:val="5.11 "/>
        <w:legacy w:legacy="1" w:legacySpace="0" w:legacyIndent="0"/>
        <w:lvlJc w:val="left"/>
        <w:pPr>
          <w:ind w:left="0" w:firstLine="0"/>
        </w:pPr>
        <w:rPr>
          <w:rFonts w:ascii="Myriad Pro" w:hAnsi="Myriad Pro" w:hint="default"/>
          <w:b/>
          <w:i w:val="0"/>
          <w:strike w:val="0"/>
          <w:color w:val="000000"/>
          <w:sz w:val="24"/>
          <w:u w:val="none"/>
        </w:rPr>
      </w:lvl>
    </w:lvlOverride>
  </w:num>
  <w:num w:numId="101" w16cid:durableId="1152016141">
    <w:abstractNumId w:val="5"/>
    <w:lvlOverride w:ilvl="0">
      <w:lvl w:ilvl="0">
        <w:start w:val="1"/>
        <w:numFmt w:val="bullet"/>
        <w:lvlText w:val="5.11.1 "/>
        <w:legacy w:legacy="1" w:legacySpace="0" w:legacyIndent="0"/>
        <w:lvlJc w:val="left"/>
        <w:pPr>
          <w:ind w:left="0" w:firstLine="0"/>
        </w:pPr>
        <w:rPr>
          <w:rFonts w:ascii="Myriad Pro" w:hAnsi="Myriad Pro" w:hint="default"/>
          <w:b/>
          <w:i w:val="0"/>
          <w:strike w:val="0"/>
          <w:color w:val="000000"/>
          <w:sz w:val="22"/>
          <w:u w:val="none"/>
        </w:rPr>
      </w:lvl>
    </w:lvlOverride>
  </w:num>
  <w:num w:numId="102" w16cid:durableId="1231424150">
    <w:abstractNumId w:val="5"/>
    <w:lvlOverride w:ilvl="0">
      <w:lvl w:ilvl="0">
        <w:start w:val="1"/>
        <w:numFmt w:val="bullet"/>
        <w:lvlText w:val="5.11.2 "/>
        <w:legacy w:legacy="1" w:legacySpace="0" w:legacyIndent="0"/>
        <w:lvlJc w:val="left"/>
        <w:pPr>
          <w:ind w:left="0" w:firstLine="0"/>
        </w:pPr>
        <w:rPr>
          <w:rFonts w:ascii="Myriad Pro" w:hAnsi="Myriad Pro" w:hint="default"/>
          <w:b/>
          <w:i w:val="0"/>
          <w:strike w:val="0"/>
          <w:color w:val="000000"/>
          <w:sz w:val="22"/>
          <w:u w:val="none"/>
        </w:rPr>
      </w:lvl>
    </w:lvlOverride>
  </w:num>
  <w:num w:numId="103" w16cid:durableId="1464926681">
    <w:abstractNumId w:val="5"/>
    <w:lvlOverride w:ilvl="0">
      <w:lvl w:ilvl="0">
        <w:start w:val="1"/>
        <w:numFmt w:val="bullet"/>
        <w:lvlText w:val="5.11.3 "/>
        <w:legacy w:legacy="1" w:legacySpace="0" w:legacyIndent="0"/>
        <w:lvlJc w:val="left"/>
        <w:pPr>
          <w:ind w:left="0" w:firstLine="0"/>
        </w:pPr>
        <w:rPr>
          <w:rFonts w:ascii="Myriad Pro" w:hAnsi="Myriad Pro" w:hint="default"/>
          <w:b/>
          <w:i w:val="0"/>
          <w:strike w:val="0"/>
          <w:color w:val="000000"/>
          <w:sz w:val="22"/>
          <w:u w:val="none"/>
        </w:rPr>
      </w:lvl>
    </w:lvlOverride>
  </w:num>
  <w:num w:numId="104" w16cid:durableId="2127696501">
    <w:abstractNumId w:val="5"/>
    <w:lvlOverride w:ilvl="0">
      <w:lvl w:ilvl="0">
        <w:start w:val="1"/>
        <w:numFmt w:val="bullet"/>
        <w:lvlText w:val="5.12 "/>
        <w:legacy w:legacy="1" w:legacySpace="0" w:legacyIndent="0"/>
        <w:lvlJc w:val="left"/>
        <w:pPr>
          <w:ind w:left="0" w:firstLine="0"/>
        </w:pPr>
        <w:rPr>
          <w:rFonts w:ascii="Myriad Pro" w:hAnsi="Myriad Pro" w:hint="default"/>
          <w:b/>
          <w:i w:val="0"/>
          <w:strike w:val="0"/>
          <w:color w:val="000000"/>
          <w:sz w:val="24"/>
          <w:u w:val="none"/>
        </w:rPr>
      </w:lvl>
    </w:lvlOverride>
  </w:num>
  <w:num w:numId="105" w16cid:durableId="892617460">
    <w:abstractNumId w:val="5"/>
    <w:lvlOverride w:ilvl="0">
      <w:lvl w:ilvl="0">
        <w:start w:val="1"/>
        <w:numFmt w:val="bullet"/>
        <w:lvlText w:val="5.12.1 "/>
        <w:legacy w:legacy="1" w:legacySpace="0" w:legacyIndent="0"/>
        <w:lvlJc w:val="left"/>
        <w:pPr>
          <w:ind w:left="0" w:firstLine="0"/>
        </w:pPr>
        <w:rPr>
          <w:rFonts w:ascii="Myriad Pro" w:hAnsi="Myriad Pro" w:hint="default"/>
          <w:b/>
          <w:i w:val="0"/>
          <w:strike w:val="0"/>
          <w:color w:val="000000"/>
          <w:sz w:val="22"/>
          <w:u w:val="none"/>
        </w:rPr>
      </w:lvl>
    </w:lvlOverride>
  </w:num>
  <w:num w:numId="106" w16cid:durableId="1503471755">
    <w:abstractNumId w:val="5"/>
    <w:lvlOverride w:ilvl="0">
      <w:lvl w:ilvl="0">
        <w:start w:val="1"/>
        <w:numFmt w:val="bullet"/>
        <w:lvlText w:val="5.12.2 "/>
        <w:legacy w:legacy="1" w:legacySpace="0" w:legacyIndent="0"/>
        <w:lvlJc w:val="left"/>
        <w:pPr>
          <w:ind w:left="0" w:firstLine="0"/>
        </w:pPr>
        <w:rPr>
          <w:rFonts w:ascii="Myriad Pro" w:hAnsi="Myriad Pro" w:hint="default"/>
          <w:b/>
          <w:i w:val="0"/>
          <w:strike w:val="0"/>
          <w:color w:val="000000"/>
          <w:sz w:val="22"/>
          <w:u w:val="none"/>
        </w:rPr>
      </w:lvl>
    </w:lvlOverride>
  </w:num>
  <w:num w:numId="107" w16cid:durableId="313798475">
    <w:abstractNumId w:val="5"/>
    <w:lvlOverride w:ilvl="0">
      <w:lvl w:ilvl="0">
        <w:start w:val="1"/>
        <w:numFmt w:val="bullet"/>
        <w:lvlText w:val="5.12.3 "/>
        <w:legacy w:legacy="1" w:legacySpace="0" w:legacyIndent="0"/>
        <w:lvlJc w:val="left"/>
        <w:pPr>
          <w:ind w:left="0" w:firstLine="0"/>
        </w:pPr>
        <w:rPr>
          <w:rFonts w:ascii="Myriad Pro" w:hAnsi="Myriad Pro" w:hint="default"/>
          <w:b/>
          <w:i w:val="0"/>
          <w:strike w:val="0"/>
          <w:color w:val="000000"/>
          <w:sz w:val="22"/>
          <w:u w:val="none"/>
        </w:rPr>
      </w:lvl>
    </w:lvlOverride>
  </w:num>
  <w:num w:numId="108" w16cid:durableId="125785475">
    <w:abstractNumId w:val="5"/>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109" w16cid:durableId="1548376658">
    <w:abstractNumId w:val="5"/>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110" w16cid:durableId="951476616">
    <w:abstractNumId w:val="5"/>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4"/>
          <w:u w:val="none"/>
        </w:rPr>
      </w:lvl>
    </w:lvlOverride>
  </w:num>
  <w:num w:numId="111" w16cid:durableId="1569803001">
    <w:abstractNumId w:val="5"/>
    <w:lvlOverride w:ilvl="0">
      <w:lvl w:ilvl="0">
        <w:start w:val="1"/>
        <w:numFmt w:val="bullet"/>
        <w:lvlText w:val="6.2.1 "/>
        <w:legacy w:legacy="1" w:legacySpace="0" w:legacyIndent="0"/>
        <w:lvlJc w:val="left"/>
        <w:pPr>
          <w:ind w:left="0" w:firstLine="0"/>
        </w:pPr>
        <w:rPr>
          <w:rFonts w:ascii="Myriad Pro" w:hAnsi="Myriad Pro" w:hint="default"/>
          <w:b/>
          <w:i w:val="0"/>
          <w:strike w:val="0"/>
          <w:color w:val="000000"/>
          <w:sz w:val="22"/>
          <w:u w:val="none"/>
        </w:rPr>
      </w:lvl>
    </w:lvlOverride>
  </w:num>
  <w:num w:numId="112" w16cid:durableId="132019403">
    <w:abstractNumId w:val="5"/>
    <w:lvlOverride w:ilvl="0">
      <w:lvl w:ilvl="0">
        <w:start w:val="1"/>
        <w:numFmt w:val="bullet"/>
        <w:lvlText w:val="6.2.2 "/>
        <w:legacy w:legacy="1" w:legacySpace="0" w:legacyIndent="0"/>
        <w:lvlJc w:val="left"/>
        <w:pPr>
          <w:ind w:left="0" w:firstLine="0"/>
        </w:pPr>
        <w:rPr>
          <w:rFonts w:ascii="Myriad Pro" w:hAnsi="Myriad Pro" w:hint="default"/>
          <w:b/>
          <w:i w:val="0"/>
          <w:strike w:val="0"/>
          <w:color w:val="000000"/>
          <w:sz w:val="22"/>
          <w:u w:val="none"/>
        </w:rPr>
      </w:lvl>
    </w:lvlOverride>
  </w:num>
  <w:num w:numId="113" w16cid:durableId="1708141519">
    <w:abstractNumId w:val="5"/>
    <w:lvlOverride w:ilvl="0">
      <w:lvl w:ilvl="0">
        <w:start w:val="1"/>
        <w:numFmt w:val="bullet"/>
        <w:lvlText w:val="6.2.2.1 "/>
        <w:legacy w:legacy="1" w:legacySpace="0" w:legacyIndent="0"/>
        <w:lvlJc w:val="left"/>
        <w:pPr>
          <w:ind w:left="0" w:firstLine="0"/>
        </w:pPr>
        <w:rPr>
          <w:rFonts w:ascii="Myriad Pro" w:hAnsi="Myriad Pro" w:hint="default"/>
          <w:b w:val="0"/>
          <w:i/>
          <w:strike w:val="0"/>
          <w:color w:val="000000"/>
          <w:sz w:val="22"/>
          <w:u w:val="none"/>
        </w:rPr>
      </w:lvl>
    </w:lvlOverride>
  </w:num>
  <w:num w:numId="114" w16cid:durableId="1336301959">
    <w:abstractNumId w:val="5"/>
    <w:lvlOverride w:ilvl="0">
      <w:lvl w:ilvl="0">
        <w:start w:val="1"/>
        <w:numFmt w:val="bullet"/>
        <w:lvlText w:val="6.2.2.2 "/>
        <w:legacy w:legacy="1" w:legacySpace="0" w:legacyIndent="0"/>
        <w:lvlJc w:val="left"/>
        <w:pPr>
          <w:ind w:left="0" w:firstLine="0"/>
        </w:pPr>
        <w:rPr>
          <w:rFonts w:ascii="Myriad Pro" w:hAnsi="Myriad Pro" w:hint="default"/>
          <w:b w:val="0"/>
          <w:i/>
          <w:strike w:val="0"/>
          <w:color w:val="000000"/>
          <w:sz w:val="22"/>
          <w:u w:val="none"/>
        </w:rPr>
      </w:lvl>
    </w:lvlOverride>
  </w:num>
  <w:num w:numId="115" w16cid:durableId="1731491249">
    <w:abstractNumId w:val="5"/>
    <w:lvlOverride w:ilvl="0">
      <w:lvl w:ilvl="0">
        <w:start w:val="1"/>
        <w:numFmt w:val="bullet"/>
        <w:lvlText w:val="6.2.2.3 "/>
        <w:legacy w:legacy="1" w:legacySpace="0" w:legacyIndent="0"/>
        <w:lvlJc w:val="left"/>
        <w:pPr>
          <w:ind w:left="0" w:firstLine="0"/>
        </w:pPr>
        <w:rPr>
          <w:rFonts w:ascii="Myriad Pro" w:hAnsi="Myriad Pro" w:hint="default"/>
          <w:b w:val="0"/>
          <w:i/>
          <w:strike w:val="0"/>
          <w:color w:val="000000"/>
          <w:sz w:val="22"/>
          <w:u w:val="none"/>
        </w:rPr>
      </w:lvl>
    </w:lvlOverride>
  </w:num>
  <w:num w:numId="116" w16cid:durableId="1682195833">
    <w:abstractNumId w:val="5"/>
    <w:lvlOverride w:ilvl="0">
      <w:lvl w:ilvl="0">
        <w:start w:val="1"/>
        <w:numFmt w:val="bullet"/>
        <w:lvlText w:val="6.2.3 "/>
        <w:legacy w:legacy="1" w:legacySpace="0" w:legacyIndent="0"/>
        <w:lvlJc w:val="left"/>
        <w:pPr>
          <w:ind w:left="0" w:firstLine="0"/>
        </w:pPr>
        <w:rPr>
          <w:rFonts w:ascii="Myriad Pro" w:hAnsi="Myriad Pro" w:hint="default"/>
          <w:b/>
          <w:i w:val="0"/>
          <w:strike w:val="0"/>
          <w:color w:val="000000"/>
          <w:sz w:val="22"/>
          <w:u w:val="none"/>
        </w:rPr>
      </w:lvl>
    </w:lvlOverride>
  </w:num>
  <w:num w:numId="117" w16cid:durableId="1692533200">
    <w:abstractNumId w:val="5"/>
    <w:lvlOverride w:ilvl="0">
      <w:lvl w:ilvl="0">
        <w:start w:val="1"/>
        <w:numFmt w:val="bullet"/>
        <w:lvlText w:val="6.2.3.1 "/>
        <w:legacy w:legacy="1" w:legacySpace="0" w:legacyIndent="0"/>
        <w:lvlJc w:val="left"/>
        <w:pPr>
          <w:ind w:left="0" w:firstLine="0"/>
        </w:pPr>
        <w:rPr>
          <w:rFonts w:ascii="Myriad Pro" w:hAnsi="Myriad Pro" w:hint="default"/>
          <w:b w:val="0"/>
          <w:i/>
          <w:strike w:val="0"/>
          <w:color w:val="000000"/>
          <w:sz w:val="22"/>
          <w:u w:val="none"/>
        </w:rPr>
      </w:lvl>
    </w:lvlOverride>
  </w:num>
  <w:num w:numId="118" w16cid:durableId="880702077">
    <w:abstractNumId w:val="5"/>
    <w:lvlOverride w:ilvl="0">
      <w:lvl w:ilvl="0">
        <w:start w:val="1"/>
        <w:numFmt w:val="bullet"/>
        <w:lvlText w:val="6.2.3.2 "/>
        <w:legacy w:legacy="1" w:legacySpace="0" w:legacyIndent="0"/>
        <w:lvlJc w:val="left"/>
        <w:pPr>
          <w:ind w:left="0" w:firstLine="0"/>
        </w:pPr>
        <w:rPr>
          <w:rFonts w:ascii="Myriad Pro" w:hAnsi="Myriad Pro" w:hint="default"/>
          <w:b w:val="0"/>
          <w:i/>
          <w:strike w:val="0"/>
          <w:color w:val="000000"/>
          <w:sz w:val="22"/>
          <w:u w:val="none"/>
        </w:rPr>
      </w:lvl>
    </w:lvlOverride>
  </w:num>
  <w:num w:numId="119" w16cid:durableId="1832673616">
    <w:abstractNumId w:val="5"/>
    <w:lvlOverride w:ilvl="0">
      <w:lvl w:ilvl="0">
        <w:start w:val="1"/>
        <w:numFmt w:val="bullet"/>
        <w:lvlText w:val="6.2.4 "/>
        <w:legacy w:legacy="1" w:legacySpace="0" w:legacyIndent="0"/>
        <w:lvlJc w:val="left"/>
        <w:pPr>
          <w:ind w:left="0" w:firstLine="0"/>
        </w:pPr>
        <w:rPr>
          <w:rFonts w:ascii="Myriad Pro" w:hAnsi="Myriad Pro" w:hint="default"/>
          <w:b/>
          <w:i w:val="0"/>
          <w:strike w:val="0"/>
          <w:color w:val="000000"/>
          <w:sz w:val="22"/>
          <w:u w:val="none"/>
        </w:rPr>
      </w:lvl>
    </w:lvlOverride>
  </w:num>
  <w:num w:numId="120" w16cid:durableId="1987321857">
    <w:abstractNumId w:val="5"/>
    <w:lvlOverride w:ilvl="0">
      <w:lvl w:ilvl="0">
        <w:start w:val="1"/>
        <w:numFmt w:val="bullet"/>
        <w:lvlText w:val="6.2.5 "/>
        <w:legacy w:legacy="1" w:legacySpace="0" w:legacyIndent="0"/>
        <w:lvlJc w:val="left"/>
        <w:pPr>
          <w:ind w:left="0" w:firstLine="0"/>
        </w:pPr>
        <w:rPr>
          <w:rFonts w:ascii="Myriad Pro" w:hAnsi="Myriad Pro" w:hint="default"/>
          <w:b/>
          <w:i w:val="0"/>
          <w:strike w:val="0"/>
          <w:color w:val="000000"/>
          <w:sz w:val="22"/>
          <w:u w:val="none"/>
        </w:rPr>
      </w:lvl>
    </w:lvlOverride>
  </w:num>
  <w:num w:numId="121" w16cid:durableId="64032700">
    <w:abstractNumId w:val="5"/>
    <w:lvlOverride w:ilvl="0">
      <w:lvl w:ilvl="0">
        <w:start w:val="1"/>
        <w:numFmt w:val="bullet"/>
        <w:lvlText w:val="6.3 "/>
        <w:legacy w:legacy="1" w:legacySpace="0" w:legacyIndent="0"/>
        <w:lvlJc w:val="left"/>
        <w:pPr>
          <w:ind w:left="0" w:firstLine="0"/>
        </w:pPr>
        <w:rPr>
          <w:rFonts w:ascii="Myriad Pro" w:hAnsi="Myriad Pro" w:hint="default"/>
          <w:b/>
          <w:i w:val="0"/>
          <w:strike w:val="0"/>
          <w:color w:val="000000"/>
          <w:sz w:val="24"/>
          <w:u w:val="none"/>
        </w:rPr>
      </w:lvl>
    </w:lvlOverride>
  </w:num>
  <w:num w:numId="122" w16cid:durableId="1457065032">
    <w:abstractNumId w:val="5"/>
    <w:lvlOverride w:ilvl="0">
      <w:lvl w:ilvl="0">
        <w:start w:val="1"/>
        <w:numFmt w:val="bullet"/>
        <w:lvlText w:val="6.3.1 "/>
        <w:legacy w:legacy="1" w:legacySpace="0" w:legacyIndent="0"/>
        <w:lvlJc w:val="left"/>
        <w:pPr>
          <w:ind w:left="0" w:firstLine="0"/>
        </w:pPr>
        <w:rPr>
          <w:rFonts w:ascii="Myriad Pro" w:hAnsi="Myriad Pro" w:hint="default"/>
          <w:b/>
          <w:i w:val="0"/>
          <w:strike w:val="0"/>
          <w:color w:val="000000"/>
          <w:sz w:val="22"/>
          <w:u w:val="none"/>
        </w:rPr>
      </w:lvl>
    </w:lvlOverride>
  </w:num>
  <w:num w:numId="123" w16cid:durableId="1681814684">
    <w:abstractNumId w:val="5"/>
    <w:lvlOverride w:ilvl="0">
      <w:lvl w:ilvl="0">
        <w:start w:val="1"/>
        <w:numFmt w:val="bullet"/>
        <w:lvlText w:val="6.3.2 "/>
        <w:legacy w:legacy="1" w:legacySpace="0" w:legacyIndent="0"/>
        <w:lvlJc w:val="left"/>
        <w:pPr>
          <w:ind w:left="0" w:firstLine="0"/>
        </w:pPr>
        <w:rPr>
          <w:rFonts w:ascii="Myriad Pro" w:hAnsi="Myriad Pro" w:hint="default"/>
          <w:b/>
          <w:i w:val="0"/>
          <w:strike w:val="0"/>
          <w:color w:val="000000"/>
          <w:sz w:val="22"/>
          <w:u w:val="none"/>
        </w:rPr>
      </w:lvl>
    </w:lvlOverride>
  </w:num>
  <w:num w:numId="124" w16cid:durableId="1500543217">
    <w:abstractNumId w:val="5"/>
    <w:lvlOverride w:ilvl="0">
      <w:lvl w:ilvl="0">
        <w:start w:val="1"/>
        <w:numFmt w:val="bullet"/>
        <w:lvlText w:val="6.3.2.1 "/>
        <w:legacy w:legacy="1" w:legacySpace="0" w:legacyIndent="0"/>
        <w:lvlJc w:val="left"/>
        <w:pPr>
          <w:ind w:left="0" w:firstLine="0"/>
        </w:pPr>
        <w:rPr>
          <w:rFonts w:ascii="Myriad Pro" w:hAnsi="Myriad Pro" w:hint="default"/>
          <w:b w:val="0"/>
          <w:i/>
          <w:strike w:val="0"/>
          <w:color w:val="000000"/>
          <w:sz w:val="22"/>
          <w:u w:val="none"/>
        </w:rPr>
      </w:lvl>
    </w:lvlOverride>
  </w:num>
  <w:num w:numId="125" w16cid:durableId="423460806">
    <w:abstractNumId w:val="5"/>
    <w:lvlOverride w:ilvl="0">
      <w:lvl w:ilvl="0">
        <w:start w:val="1"/>
        <w:numFmt w:val="bullet"/>
        <w:lvlText w:val="6.3.2.2 "/>
        <w:legacy w:legacy="1" w:legacySpace="0" w:legacyIndent="0"/>
        <w:lvlJc w:val="left"/>
        <w:pPr>
          <w:ind w:left="0" w:firstLine="0"/>
        </w:pPr>
        <w:rPr>
          <w:rFonts w:ascii="Myriad Pro" w:hAnsi="Myriad Pro" w:hint="default"/>
          <w:b w:val="0"/>
          <w:i/>
          <w:strike w:val="0"/>
          <w:color w:val="000000"/>
          <w:sz w:val="22"/>
          <w:u w:val="none"/>
        </w:rPr>
      </w:lvl>
    </w:lvlOverride>
  </w:num>
  <w:num w:numId="126" w16cid:durableId="689181058">
    <w:abstractNumId w:val="5"/>
    <w:lvlOverride w:ilvl="0">
      <w:lvl w:ilvl="0">
        <w:start w:val="1"/>
        <w:numFmt w:val="bullet"/>
        <w:lvlText w:val="6.3.2.3 "/>
        <w:legacy w:legacy="1" w:legacySpace="0" w:legacyIndent="0"/>
        <w:lvlJc w:val="left"/>
        <w:pPr>
          <w:ind w:left="0" w:firstLine="0"/>
        </w:pPr>
        <w:rPr>
          <w:rFonts w:ascii="Myriad Pro" w:hAnsi="Myriad Pro" w:hint="default"/>
          <w:b w:val="0"/>
          <w:i/>
          <w:strike w:val="0"/>
          <w:color w:val="000000"/>
          <w:sz w:val="22"/>
          <w:u w:val="none"/>
        </w:rPr>
      </w:lvl>
    </w:lvlOverride>
  </w:num>
  <w:num w:numId="127" w16cid:durableId="1397438010">
    <w:abstractNumId w:val="5"/>
    <w:lvlOverride w:ilvl="0">
      <w:lvl w:ilvl="0">
        <w:start w:val="1"/>
        <w:numFmt w:val="bullet"/>
        <w:lvlText w:val="6.3.2.4 "/>
        <w:legacy w:legacy="1" w:legacySpace="0" w:legacyIndent="0"/>
        <w:lvlJc w:val="left"/>
        <w:pPr>
          <w:ind w:left="0" w:firstLine="0"/>
        </w:pPr>
        <w:rPr>
          <w:rFonts w:ascii="Myriad Pro" w:hAnsi="Myriad Pro" w:hint="default"/>
          <w:b w:val="0"/>
          <w:i/>
          <w:strike w:val="0"/>
          <w:color w:val="000000"/>
          <w:sz w:val="22"/>
          <w:u w:val="none"/>
        </w:rPr>
      </w:lvl>
    </w:lvlOverride>
  </w:num>
  <w:num w:numId="128" w16cid:durableId="74209898">
    <w:abstractNumId w:val="5"/>
    <w:lvlOverride w:ilvl="0">
      <w:lvl w:ilvl="0">
        <w:start w:val="1"/>
        <w:numFmt w:val="bullet"/>
        <w:lvlText w:val="6.4 "/>
        <w:legacy w:legacy="1" w:legacySpace="0" w:legacyIndent="0"/>
        <w:lvlJc w:val="left"/>
        <w:pPr>
          <w:ind w:left="0" w:firstLine="0"/>
        </w:pPr>
        <w:rPr>
          <w:rFonts w:ascii="Myriad Pro" w:hAnsi="Myriad Pro" w:hint="default"/>
          <w:b/>
          <w:i w:val="0"/>
          <w:strike w:val="0"/>
          <w:color w:val="000000"/>
          <w:sz w:val="24"/>
          <w:u w:val="none"/>
        </w:rPr>
      </w:lvl>
    </w:lvlOverride>
  </w:num>
  <w:num w:numId="129" w16cid:durableId="1503080633">
    <w:abstractNumId w:val="5"/>
    <w:lvlOverride w:ilvl="0">
      <w:lvl w:ilvl="0">
        <w:start w:val="1"/>
        <w:numFmt w:val="bullet"/>
        <w:lvlText w:val="6.4.1 "/>
        <w:legacy w:legacy="1" w:legacySpace="0" w:legacyIndent="0"/>
        <w:lvlJc w:val="left"/>
        <w:pPr>
          <w:ind w:left="0" w:firstLine="0"/>
        </w:pPr>
        <w:rPr>
          <w:rFonts w:ascii="Myriad Pro" w:hAnsi="Myriad Pro" w:hint="default"/>
          <w:b/>
          <w:i w:val="0"/>
          <w:strike w:val="0"/>
          <w:color w:val="000000"/>
          <w:sz w:val="22"/>
          <w:u w:val="none"/>
        </w:rPr>
      </w:lvl>
    </w:lvlOverride>
  </w:num>
  <w:num w:numId="130" w16cid:durableId="1850945716">
    <w:abstractNumId w:val="5"/>
    <w:lvlOverride w:ilvl="0">
      <w:lvl w:ilvl="0">
        <w:start w:val="1"/>
        <w:numFmt w:val="bullet"/>
        <w:lvlText w:val="6.5 "/>
        <w:legacy w:legacy="1" w:legacySpace="0" w:legacyIndent="0"/>
        <w:lvlJc w:val="left"/>
        <w:pPr>
          <w:ind w:left="0" w:firstLine="0"/>
        </w:pPr>
        <w:rPr>
          <w:rFonts w:ascii="Myriad Pro" w:hAnsi="Myriad Pro" w:hint="default"/>
          <w:b/>
          <w:i w:val="0"/>
          <w:strike w:val="0"/>
          <w:color w:val="000000"/>
          <w:sz w:val="24"/>
          <w:u w:val="none"/>
        </w:rPr>
      </w:lvl>
    </w:lvlOverride>
  </w:num>
  <w:num w:numId="131" w16cid:durableId="465245413">
    <w:abstractNumId w:val="5"/>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132" w16cid:durableId="1174957794">
    <w:abstractNumId w:val="5"/>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133" w16cid:durableId="663165452">
    <w:abstractNumId w:val="5"/>
    <w:lvlOverride w:ilvl="0">
      <w:lvl w:ilvl="0">
        <w:start w:val="1"/>
        <w:numFmt w:val="bullet"/>
        <w:lvlText w:val="8.1 "/>
        <w:legacy w:legacy="1" w:legacySpace="0" w:legacyIndent="0"/>
        <w:lvlJc w:val="left"/>
        <w:pPr>
          <w:ind w:left="0" w:firstLine="0"/>
        </w:pPr>
        <w:rPr>
          <w:rFonts w:ascii="Myriad Pro" w:hAnsi="Myriad Pro" w:hint="default"/>
          <w:b/>
          <w:i w:val="0"/>
          <w:strike w:val="0"/>
          <w:color w:val="000000"/>
          <w:sz w:val="24"/>
          <w:u w:val="none"/>
        </w:rPr>
      </w:lvl>
    </w:lvlOverride>
  </w:num>
  <w:num w:numId="134" w16cid:durableId="1774204052">
    <w:abstractNumId w:val="5"/>
    <w:lvlOverride w:ilvl="0">
      <w:lvl w:ilvl="0">
        <w:start w:val="1"/>
        <w:numFmt w:val="bullet"/>
        <w:lvlText w:val="8.2 "/>
        <w:legacy w:legacy="1" w:legacySpace="0" w:legacyIndent="0"/>
        <w:lvlJc w:val="left"/>
        <w:pPr>
          <w:ind w:left="0" w:firstLine="0"/>
        </w:pPr>
        <w:rPr>
          <w:rFonts w:ascii="Myriad Pro" w:hAnsi="Myriad Pro" w:hint="default"/>
          <w:b/>
          <w:i w:val="0"/>
          <w:strike w:val="0"/>
          <w:color w:val="000000"/>
          <w:sz w:val="24"/>
          <w:u w:val="none"/>
        </w:rPr>
      </w:lvl>
    </w:lvlOverride>
  </w:num>
  <w:num w:numId="135" w16cid:durableId="1585144555">
    <w:abstractNumId w:val="5"/>
    <w:lvlOverride w:ilvl="0">
      <w:lvl w:ilvl="0">
        <w:start w:val="1"/>
        <w:numFmt w:val="bullet"/>
        <w:lvlText w:val="8.2.1 "/>
        <w:legacy w:legacy="1" w:legacySpace="0" w:legacyIndent="0"/>
        <w:lvlJc w:val="left"/>
        <w:pPr>
          <w:ind w:left="0" w:firstLine="0"/>
        </w:pPr>
        <w:rPr>
          <w:rFonts w:ascii="Myriad Pro" w:hAnsi="Myriad Pro" w:hint="default"/>
          <w:b/>
          <w:i w:val="0"/>
          <w:strike w:val="0"/>
          <w:color w:val="000000"/>
          <w:sz w:val="22"/>
          <w:u w:val="none"/>
        </w:rPr>
      </w:lvl>
    </w:lvlOverride>
  </w:num>
  <w:num w:numId="136" w16cid:durableId="559948240">
    <w:abstractNumId w:val="5"/>
    <w:lvlOverride w:ilvl="0">
      <w:lvl w:ilvl="0">
        <w:start w:val="1"/>
        <w:numFmt w:val="bullet"/>
        <w:lvlText w:val="8.2.2 "/>
        <w:legacy w:legacy="1" w:legacySpace="0" w:legacyIndent="0"/>
        <w:lvlJc w:val="left"/>
        <w:pPr>
          <w:ind w:left="0" w:firstLine="0"/>
        </w:pPr>
        <w:rPr>
          <w:rFonts w:ascii="Myriad Pro" w:hAnsi="Myriad Pro" w:hint="default"/>
          <w:b/>
          <w:i w:val="0"/>
          <w:strike w:val="0"/>
          <w:color w:val="000000"/>
          <w:sz w:val="22"/>
          <w:u w:val="none"/>
        </w:rPr>
      </w:lvl>
    </w:lvlOverride>
  </w:num>
  <w:num w:numId="137" w16cid:durableId="1389065006">
    <w:abstractNumId w:val="5"/>
    <w:lvlOverride w:ilvl="0">
      <w:lvl w:ilvl="0">
        <w:start w:val="1"/>
        <w:numFmt w:val="bullet"/>
        <w:lvlText w:val="8.2.3 "/>
        <w:legacy w:legacy="1" w:legacySpace="0" w:legacyIndent="0"/>
        <w:lvlJc w:val="left"/>
        <w:pPr>
          <w:ind w:left="0" w:firstLine="0"/>
        </w:pPr>
        <w:rPr>
          <w:rFonts w:ascii="Myriad Pro" w:hAnsi="Myriad Pro" w:hint="default"/>
          <w:b/>
          <w:i w:val="0"/>
          <w:strike w:val="0"/>
          <w:color w:val="000000"/>
          <w:sz w:val="22"/>
          <w:u w:val="none"/>
        </w:rPr>
      </w:lvl>
    </w:lvlOverride>
  </w:num>
  <w:num w:numId="138" w16cid:durableId="148595978">
    <w:abstractNumId w:val="5"/>
    <w:lvlOverride w:ilvl="0">
      <w:lvl w:ilvl="0">
        <w:start w:val="1"/>
        <w:numFmt w:val="bullet"/>
        <w:lvlText w:val="8.2.4 "/>
        <w:legacy w:legacy="1" w:legacySpace="0" w:legacyIndent="0"/>
        <w:lvlJc w:val="left"/>
        <w:pPr>
          <w:ind w:left="0" w:firstLine="0"/>
        </w:pPr>
        <w:rPr>
          <w:rFonts w:ascii="Myriad Pro" w:hAnsi="Myriad Pro" w:hint="default"/>
          <w:b/>
          <w:i w:val="0"/>
          <w:strike w:val="0"/>
          <w:color w:val="000000"/>
          <w:sz w:val="22"/>
          <w:u w:val="none"/>
        </w:rPr>
      </w:lvl>
    </w:lvlOverride>
  </w:num>
  <w:num w:numId="139" w16cid:durableId="189536529">
    <w:abstractNumId w:val="5"/>
    <w:lvlOverride w:ilvl="0">
      <w:lvl w:ilvl="0">
        <w:start w:val="1"/>
        <w:numFmt w:val="bullet"/>
        <w:lvlText w:val="8.3 "/>
        <w:legacy w:legacy="1" w:legacySpace="0" w:legacyIndent="0"/>
        <w:lvlJc w:val="left"/>
        <w:pPr>
          <w:ind w:left="0" w:firstLine="0"/>
        </w:pPr>
        <w:rPr>
          <w:rFonts w:ascii="Myriad Pro" w:hAnsi="Myriad Pro" w:hint="default"/>
          <w:b/>
          <w:i w:val="0"/>
          <w:strike w:val="0"/>
          <w:color w:val="000000"/>
          <w:sz w:val="24"/>
          <w:u w:val="none"/>
        </w:rPr>
      </w:lvl>
    </w:lvlOverride>
  </w:num>
  <w:num w:numId="140" w16cid:durableId="1442261710">
    <w:abstractNumId w:val="5"/>
    <w:lvlOverride w:ilvl="0">
      <w:lvl w:ilvl="0">
        <w:start w:val="1"/>
        <w:numFmt w:val="bullet"/>
        <w:lvlText w:val="8.3.1 "/>
        <w:legacy w:legacy="1" w:legacySpace="0" w:legacyIndent="0"/>
        <w:lvlJc w:val="left"/>
        <w:pPr>
          <w:ind w:left="0" w:firstLine="0"/>
        </w:pPr>
        <w:rPr>
          <w:rFonts w:ascii="Myriad Pro" w:hAnsi="Myriad Pro" w:hint="default"/>
          <w:b/>
          <w:i w:val="0"/>
          <w:strike w:val="0"/>
          <w:color w:val="000000"/>
          <w:sz w:val="22"/>
          <w:u w:val="none"/>
        </w:rPr>
      </w:lvl>
    </w:lvlOverride>
  </w:num>
  <w:num w:numId="141" w16cid:durableId="1628311783">
    <w:abstractNumId w:val="5"/>
    <w:lvlOverride w:ilvl="0">
      <w:lvl w:ilvl="0">
        <w:start w:val="1"/>
        <w:numFmt w:val="bullet"/>
        <w:lvlText w:val="8.3.1.1 "/>
        <w:legacy w:legacy="1" w:legacySpace="0" w:legacyIndent="0"/>
        <w:lvlJc w:val="left"/>
        <w:pPr>
          <w:ind w:left="0" w:firstLine="0"/>
        </w:pPr>
        <w:rPr>
          <w:rFonts w:ascii="Myriad Pro" w:hAnsi="Myriad Pro" w:hint="default"/>
          <w:b w:val="0"/>
          <w:i/>
          <w:strike w:val="0"/>
          <w:color w:val="000000"/>
          <w:sz w:val="22"/>
          <w:u w:val="none"/>
        </w:rPr>
      </w:lvl>
    </w:lvlOverride>
  </w:num>
  <w:num w:numId="142" w16cid:durableId="770320342">
    <w:abstractNumId w:val="5"/>
    <w:lvlOverride w:ilvl="0">
      <w:lvl w:ilvl="0">
        <w:start w:val="1"/>
        <w:numFmt w:val="bullet"/>
        <w:lvlText w:val="8.3.2 "/>
        <w:legacy w:legacy="1" w:legacySpace="0" w:legacyIndent="0"/>
        <w:lvlJc w:val="left"/>
        <w:pPr>
          <w:ind w:left="0" w:firstLine="0"/>
        </w:pPr>
        <w:rPr>
          <w:rFonts w:ascii="Myriad Pro" w:hAnsi="Myriad Pro" w:hint="default"/>
          <w:b/>
          <w:i w:val="0"/>
          <w:strike w:val="0"/>
          <w:color w:val="000000"/>
          <w:sz w:val="22"/>
          <w:u w:val="none"/>
        </w:rPr>
      </w:lvl>
    </w:lvlOverride>
  </w:num>
  <w:num w:numId="143" w16cid:durableId="2090275223">
    <w:abstractNumId w:val="5"/>
    <w:lvlOverride w:ilvl="0">
      <w:lvl w:ilvl="0">
        <w:start w:val="1"/>
        <w:numFmt w:val="bullet"/>
        <w:lvlText w:val="8.3.3 "/>
        <w:legacy w:legacy="1" w:legacySpace="0" w:legacyIndent="0"/>
        <w:lvlJc w:val="left"/>
        <w:pPr>
          <w:ind w:left="0" w:firstLine="0"/>
        </w:pPr>
        <w:rPr>
          <w:rFonts w:ascii="Myriad Pro" w:hAnsi="Myriad Pro" w:hint="default"/>
          <w:b/>
          <w:i w:val="0"/>
          <w:strike w:val="0"/>
          <w:color w:val="000000"/>
          <w:sz w:val="22"/>
          <w:u w:val="none"/>
        </w:rPr>
      </w:lvl>
    </w:lvlOverride>
  </w:num>
  <w:num w:numId="144" w16cid:durableId="2111927339">
    <w:abstractNumId w:val="5"/>
    <w:lvlOverride w:ilvl="0">
      <w:lvl w:ilvl="0">
        <w:start w:val="1"/>
        <w:numFmt w:val="bullet"/>
        <w:lvlText w:val="8.3.4 "/>
        <w:legacy w:legacy="1" w:legacySpace="0" w:legacyIndent="0"/>
        <w:lvlJc w:val="left"/>
        <w:pPr>
          <w:ind w:left="0" w:firstLine="0"/>
        </w:pPr>
        <w:rPr>
          <w:rFonts w:ascii="Myriad Pro" w:hAnsi="Myriad Pro" w:hint="default"/>
          <w:b/>
          <w:i w:val="0"/>
          <w:strike w:val="0"/>
          <w:color w:val="000000"/>
          <w:sz w:val="22"/>
          <w:u w:val="none"/>
        </w:rPr>
      </w:lvl>
    </w:lvlOverride>
  </w:num>
  <w:num w:numId="145" w16cid:durableId="1432700629">
    <w:abstractNumId w:val="5"/>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146" w16cid:durableId="595790549">
    <w:abstractNumId w:val="5"/>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147" w16cid:durableId="1175650418">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48" w16cid:durableId="837233047">
    <w:abstractNumId w:val="5"/>
    <w:lvlOverride w:ilvl="0">
      <w:lvl w:ilvl="0">
        <w:start w:val="1"/>
        <w:numFmt w:val="bullet"/>
        <w:lvlText w:val="Vedlegg 2   "/>
        <w:legacy w:legacy="1" w:legacySpace="0" w:legacyIndent="0"/>
        <w:lvlJc w:val="left"/>
        <w:pPr>
          <w:ind w:left="0" w:firstLine="0"/>
        </w:pPr>
        <w:rPr>
          <w:rFonts w:ascii="Myriad Pro" w:hAnsi="Myriad Pro" w:hint="default"/>
          <w:b/>
          <w:i w:val="0"/>
          <w:strike w:val="0"/>
          <w:color w:val="000000"/>
          <w:sz w:val="22"/>
          <w:u w:val="none"/>
        </w:rPr>
      </w:lvl>
    </w:lvlOverride>
  </w:num>
  <w:num w:numId="149" w16cid:durableId="1175608707">
    <w:abstractNumId w:val="5"/>
    <w:lvlOverride w:ilvl="0">
      <w:lvl w:ilvl="0">
        <w:start w:val="1"/>
        <w:numFmt w:val="bullet"/>
        <w:lvlText w:val=" "/>
        <w:legacy w:legacy="1" w:legacySpace="0" w:legacyIndent="0"/>
        <w:lvlJc w:val="left"/>
        <w:pPr>
          <w:ind w:left="320" w:firstLine="0"/>
        </w:pPr>
        <w:rPr>
          <w:rFonts w:ascii="UniCentury Old Style" w:hAnsi="UniCentury Old Style" w:hint="default"/>
          <w:b w:val="0"/>
          <w:i/>
          <w:strike w:val="0"/>
          <w:color w:val="000000"/>
          <w:sz w:val="20"/>
          <w:u w:val="none"/>
        </w:rPr>
      </w:lvl>
    </w:lvlOverride>
  </w:num>
  <w:num w:numId="150" w16cid:durableId="837697080">
    <w:abstractNumId w:val="5"/>
    <w:lvlOverride w:ilvl="0">
      <w:lvl w:ilvl="0">
        <w:start w:val="1"/>
        <w:numFmt w:val="bullet"/>
        <w:lvlText w:val=" "/>
        <w:legacy w:legacy="1" w:legacySpace="0" w:legacyIndent="0"/>
        <w:lvlJc w:val="left"/>
        <w:pPr>
          <w:ind w:left="320" w:firstLine="0"/>
        </w:pPr>
        <w:rPr>
          <w:rFonts w:ascii="UniCentury Old Style" w:hAnsi="UniCentury Old Style" w:hint="default"/>
          <w:b/>
          <w:i w:val="0"/>
          <w:strike w:val="0"/>
          <w:color w:val="000000"/>
          <w:sz w:val="20"/>
          <w:u w:val="none"/>
        </w:rPr>
      </w:lvl>
    </w:lvlOverride>
  </w:num>
  <w:num w:numId="151" w16cid:durableId="854071504">
    <w:abstractNumId w:val="5"/>
    <w:lvlOverride w:ilvl="0">
      <w:lvl w:ilvl="0">
        <w:start w:val="1"/>
        <w:numFmt w:val="bullet"/>
        <w:lvlText w:val="Vedlegg 3   "/>
        <w:legacy w:legacy="1" w:legacySpace="0" w:legacyIndent="0"/>
        <w:lvlJc w:val="left"/>
        <w:pPr>
          <w:ind w:left="0" w:firstLine="0"/>
        </w:pPr>
        <w:rPr>
          <w:rFonts w:ascii="Myriad Pro" w:hAnsi="Myriad Pro" w:hint="default"/>
          <w:b/>
          <w:i w:val="0"/>
          <w:strike w:val="0"/>
          <w:color w:val="000000"/>
          <w:sz w:val="22"/>
          <w:u w:val="none"/>
        </w:rPr>
      </w:lvl>
    </w:lvlOverride>
  </w:num>
  <w:num w:numId="152" w16cid:durableId="600914387">
    <w:abstractNumId w:val="5"/>
    <w:lvlOverride w:ilvl="0">
      <w:lvl w:ilvl="0">
        <w:start w:val="1"/>
        <w:numFmt w:val="bullet"/>
        <w:lvlText w:val="Vedlegg 4   "/>
        <w:legacy w:legacy="1" w:legacySpace="0" w:legacyIndent="0"/>
        <w:lvlJc w:val="left"/>
        <w:pPr>
          <w:ind w:left="0" w:firstLine="0"/>
        </w:pPr>
        <w:rPr>
          <w:rFonts w:ascii="Myriad Pro" w:hAnsi="Myriad Pro" w:hint="default"/>
          <w:b/>
          <w:i w:val="0"/>
          <w:strike w:val="0"/>
          <w:color w:val="000000"/>
          <w:sz w:val="22"/>
          <w:u w:val="none"/>
        </w:rPr>
      </w:lvl>
    </w:lvlOverride>
  </w:num>
  <w:num w:numId="153" w16cid:durableId="2116443689">
    <w:abstractNumId w:val="23"/>
  </w:num>
  <w:num w:numId="154" w16cid:durableId="127940421">
    <w:abstractNumId w:val="6"/>
  </w:num>
  <w:num w:numId="155" w16cid:durableId="453059794">
    <w:abstractNumId w:val="21"/>
  </w:num>
  <w:num w:numId="156" w16cid:durableId="1310746066">
    <w:abstractNumId w:val="14"/>
  </w:num>
  <w:num w:numId="157" w16cid:durableId="486016021">
    <w:abstractNumId w:val="19"/>
  </w:num>
  <w:num w:numId="158" w16cid:durableId="521095899">
    <w:abstractNumId w:val="24"/>
  </w:num>
  <w:num w:numId="159" w16cid:durableId="1424374986">
    <w:abstractNumId w:val="8"/>
  </w:num>
  <w:num w:numId="160" w16cid:durableId="835999048">
    <w:abstractNumId w:val="7"/>
  </w:num>
  <w:num w:numId="161" w16cid:durableId="42796712">
    <w:abstractNumId w:val="20"/>
  </w:num>
  <w:num w:numId="162" w16cid:durableId="55470480">
    <w:abstractNumId w:val="9"/>
  </w:num>
  <w:num w:numId="163" w16cid:durableId="1617639866">
    <w:abstractNumId w:val="18"/>
  </w:num>
  <w:num w:numId="164" w16cid:durableId="1105350713">
    <w:abstractNumId w:val="15"/>
  </w:num>
  <w:num w:numId="165" w16cid:durableId="681277441">
    <w:abstractNumId w:val="25"/>
  </w:num>
  <w:num w:numId="166" w16cid:durableId="276255248">
    <w:abstractNumId w:val="11"/>
  </w:num>
  <w:num w:numId="167" w16cid:durableId="1570073908">
    <w:abstractNumId w:val="22"/>
  </w:num>
  <w:num w:numId="168" w16cid:durableId="930360091">
    <w:abstractNumId w:val="26"/>
  </w:num>
  <w:num w:numId="169" w16cid:durableId="862792257">
    <w:abstractNumId w:val="16"/>
  </w:num>
  <w:num w:numId="170" w16cid:durableId="1815902072">
    <w:abstractNumId w:val="17"/>
  </w:num>
  <w:num w:numId="171" w16cid:durableId="1906838649">
    <w:abstractNumId w:val="10"/>
  </w:num>
  <w:num w:numId="172" w16cid:durableId="744380320">
    <w:abstractNumId w:val="13"/>
  </w:num>
  <w:num w:numId="173" w16cid:durableId="1979064278">
    <w:abstractNumId w:val="27"/>
  </w:num>
  <w:num w:numId="174" w16cid:durableId="1010331515">
    <w:abstractNumId w:val="12"/>
  </w:num>
  <w:num w:numId="175" w16cid:durableId="3001127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8662123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8C0261"/>
    <w:rsid w:val="00030018"/>
    <w:rsid w:val="002C40BD"/>
    <w:rsid w:val="003254A1"/>
    <w:rsid w:val="00576C3D"/>
    <w:rsid w:val="005D314E"/>
    <w:rsid w:val="007C7530"/>
    <w:rsid w:val="00802F7A"/>
    <w:rsid w:val="008C0261"/>
    <w:rsid w:val="009366D2"/>
    <w:rsid w:val="009D4FD2"/>
    <w:rsid w:val="00AE2FE3"/>
    <w:rsid w:val="00BC726C"/>
    <w:rsid w:val="00BD15C7"/>
    <w:rsid w:val="00C01A90"/>
    <w:rsid w:val="00CB5976"/>
    <w:rsid w:val="00D12098"/>
    <w:rsid w:val="00D51E11"/>
    <w:rsid w:val="00E374E2"/>
    <w:rsid w:val="00F05D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E6D19D"/>
  <w14:defaultImageDpi w14:val="96"/>
  <w15:docId w15:val="{A5EDA525-8913-4BBF-8295-20EC37081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0BD"/>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2C40BD"/>
    <w:pPr>
      <w:keepNext/>
      <w:keepLines/>
      <w:numPr>
        <w:numId w:val="173"/>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C40BD"/>
    <w:pPr>
      <w:keepNext/>
      <w:keepLines/>
      <w:numPr>
        <w:ilvl w:val="1"/>
        <w:numId w:val="173"/>
      </w:numPr>
      <w:spacing w:before="360" w:after="80"/>
      <w:outlineLvl w:val="1"/>
    </w:pPr>
    <w:rPr>
      <w:rFonts w:ascii="Arial" w:hAnsi="Arial"/>
      <w:b/>
      <w:sz w:val="28"/>
    </w:rPr>
  </w:style>
  <w:style w:type="paragraph" w:styleId="Overskrift3">
    <w:name w:val="heading 3"/>
    <w:basedOn w:val="Normal"/>
    <w:next w:val="Normal"/>
    <w:link w:val="Overskrift3Tegn"/>
    <w:qFormat/>
    <w:rsid w:val="002C40BD"/>
    <w:pPr>
      <w:keepNext/>
      <w:keepLines/>
      <w:numPr>
        <w:ilvl w:val="2"/>
        <w:numId w:val="173"/>
      </w:numPr>
      <w:spacing w:before="360" w:after="80"/>
      <w:outlineLvl w:val="2"/>
    </w:pPr>
    <w:rPr>
      <w:rFonts w:ascii="Arial" w:hAnsi="Arial"/>
      <w:b/>
      <w:spacing w:val="0"/>
    </w:rPr>
  </w:style>
  <w:style w:type="paragraph" w:styleId="Overskrift4">
    <w:name w:val="heading 4"/>
    <w:basedOn w:val="Normal"/>
    <w:next w:val="Normal"/>
    <w:link w:val="Overskrift4Tegn"/>
    <w:qFormat/>
    <w:rsid w:val="002C40BD"/>
    <w:pPr>
      <w:keepNext/>
      <w:keepLines/>
      <w:numPr>
        <w:ilvl w:val="3"/>
        <w:numId w:val="173"/>
      </w:numPr>
      <w:spacing w:before="120" w:after="0"/>
      <w:outlineLvl w:val="3"/>
    </w:pPr>
    <w:rPr>
      <w:rFonts w:ascii="Arial" w:hAnsi="Arial"/>
      <w:i/>
    </w:rPr>
  </w:style>
  <w:style w:type="paragraph" w:styleId="Overskrift5">
    <w:name w:val="heading 5"/>
    <w:basedOn w:val="Normal"/>
    <w:next w:val="Normal"/>
    <w:link w:val="Overskrift5Tegn"/>
    <w:qFormat/>
    <w:rsid w:val="002C40BD"/>
    <w:pPr>
      <w:keepNext/>
      <w:numPr>
        <w:ilvl w:val="4"/>
        <w:numId w:val="173"/>
      </w:numPr>
      <w:spacing w:before="120" w:after="0"/>
      <w:outlineLvl w:val="4"/>
    </w:pPr>
    <w:rPr>
      <w:rFonts w:ascii="Arial" w:hAnsi="Arial"/>
      <w:i/>
      <w:spacing w:val="0"/>
    </w:rPr>
  </w:style>
  <w:style w:type="paragraph" w:styleId="Overskrift6">
    <w:name w:val="heading 6"/>
    <w:basedOn w:val="Normal"/>
    <w:next w:val="Normal"/>
    <w:link w:val="Overskrift6Tegn"/>
    <w:qFormat/>
    <w:rsid w:val="002C40BD"/>
    <w:pPr>
      <w:numPr>
        <w:ilvl w:val="5"/>
        <w:numId w:val="153"/>
      </w:numPr>
      <w:spacing w:before="240" w:after="60"/>
      <w:outlineLvl w:val="5"/>
    </w:pPr>
    <w:rPr>
      <w:rFonts w:ascii="Arial" w:hAnsi="Arial"/>
      <w:i/>
      <w:sz w:val="22"/>
    </w:rPr>
  </w:style>
  <w:style w:type="paragraph" w:styleId="Overskrift7">
    <w:name w:val="heading 7"/>
    <w:basedOn w:val="Normal"/>
    <w:next w:val="Normal"/>
    <w:link w:val="Overskrift7Tegn"/>
    <w:qFormat/>
    <w:rsid w:val="002C40BD"/>
    <w:pPr>
      <w:numPr>
        <w:ilvl w:val="6"/>
        <w:numId w:val="153"/>
      </w:numPr>
      <w:spacing w:before="240" w:after="60"/>
      <w:outlineLvl w:val="6"/>
    </w:pPr>
    <w:rPr>
      <w:rFonts w:ascii="Arial" w:hAnsi="Arial"/>
    </w:rPr>
  </w:style>
  <w:style w:type="paragraph" w:styleId="Overskrift8">
    <w:name w:val="heading 8"/>
    <w:basedOn w:val="Normal"/>
    <w:next w:val="Normal"/>
    <w:link w:val="Overskrift8Tegn"/>
    <w:qFormat/>
    <w:rsid w:val="002C40BD"/>
    <w:pPr>
      <w:numPr>
        <w:ilvl w:val="7"/>
        <w:numId w:val="153"/>
      </w:numPr>
      <w:spacing w:before="240" w:after="60"/>
      <w:outlineLvl w:val="7"/>
    </w:pPr>
    <w:rPr>
      <w:rFonts w:ascii="Arial" w:hAnsi="Arial"/>
      <w:i/>
    </w:rPr>
  </w:style>
  <w:style w:type="paragraph" w:styleId="Overskrift9">
    <w:name w:val="heading 9"/>
    <w:basedOn w:val="Normal"/>
    <w:next w:val="Normal"/>
    <w:link w:val="Overskrift9Tegn"/>
    <w:qFormat/>
    <w:rsid w:val="002C40BD"/>
    <w:pPr>
      <w:numPr>
        <w:ilvl w:val="8"/>
        <w:numId w:val="153"/>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C40B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C40B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2C40BD"/>
    <w:pPr>
      <w:keepNext/>
      <w:keepLines/>
      <w:spacing w:before="240" w:after="240"/>
    </w:p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2C40BD"/>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2C40BD"/>
    <w:pPr>
      <w:keepNext/>
      <w:spacing w:before="360" w:after="60"/>
      <w:jc w:val="center"/>
    </w:pPr>
    <w:rPr>
      <w:b/>
    </w:rPr>
  </w:style>
  <w:style w:type="paragraph" w:customStyle="1" w:styleId="a-vedtak-tekst">
    <w:name w:val="a-vedtak-tekst"/>
    <w:basedOn w:val="Normal"/>
    <w:next w:val="Normal"/>
    <w:rsid w:val="002C40B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2C40BD"/>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2C40BD"/>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tilraar-tit">
    <w:name w:val="a-tilraar-tit"/>
    <w:basedOn w:val="Normal"/>
    <w:next w:val="Normal"/>
    <w:rsid w:val="002C40BD"/>
    <w:pPr>
      <w:keepNext/>
      <w:keepLines/>
      <w:spacing w:before="240"/>
      <w:jc w:val="center"/>
    </w:pPr>
    <w:rPr>
      <w:spacing w:val="30"/>
    </w:rPr>
  </w:style>
  <w:style w:type="paragraph" w:customStyle="1" w:styleId="a-vedtakdep-tit">
    <w:name w:val="a-vedtakdep-tit"/>
    <w:basedOn w:val="a-vedtak-tit"/>
    <w:qFormat/>
    <w:rsid w:val="002C40BD"/>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2C40BD"/>
    <w:pPr>
      <w:numPr>
        <w:numId w:val="155"/>
      </w:numPr>
      <w:spacing w:after="0"/>
    </w:pPr>
  </w:style>
  <w:style w:type="paragraph" w:customStyle="1" w:styleId="alfaliste2">
    <w:name w:val="alfaliste 2"/>
    <w:basedOn w:val="Liste2"/>
    <w:rsid w:val="002C40BD"/>
    <w:pPr>
      <w:numPr>
        <w:numId w:val="155"/>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2C40BD"/>
    <w:pPr>
      <w:numPr>
        <w:ilvl w:val="2"/>
        <w:numId w:val="155"/>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2C40BD"/>
    <w:pPr>
      <w:numPr>
        <w:ilvl w:val="3"/>
        <w:numId w:val="155"/>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2C40BD"/>
    <w:pPr>
      <w:numPr>
        <w:ilvl w:val="4"/>
        <w:numId w:val="155"/>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2C40BD"/>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2C40BD"/>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2C40BD"/>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2C40BD"/>
    <w:rPr>
      <w:sz w:val="20"/>
    </w:rPr>
  </w:style>
  <w:style w:type="character" w:customStyle="1" w:styleId="FotnotetekstTegn">
    <w:name w:val="Fotnotetekst Tegn"/>
    <w:basedOn w:val="Standardskriftforavsnitt"/>
    <w:link w:val="Fotnotetekst"/>
    <w:rsid w:val="002C40BD"/>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2C40BD"/>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2C40BD"/>
    <w:rPr>
      <w:rFonts w:ascii="Arial" w:eastAsia="Times New Roman" w:hAnsi="Arial"/>
      <w:b/>
      <w:spacing w:val="4"/>
      <w:kern w:val="0"/>
      <w:sz w:val="28"/>
      <w:szCs w:val="22"/>
      <w14:ligatures w14:val="none"/>
    </w:rPr>
  </w:style>
  <w:style w:type="paragraph" w:customStyle="1" w:styleId="b-post">
    <w:name w:val="b-post"/>
    <w:basedOn w:val="Normal"/>
    <w:next w:val="Normal"/>
    <w:rsid w:val="002C40BD"/>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2C40BD"/>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2C40BD"/>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2C40BD"/>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2C40BD"/>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2C40BD"/>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2C40BD"/>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2C40BD"/>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2C40BD"/>
  </w:style>
  <w:style w:type="paragraph" w:customStyle="1" w:styleId="Def">
    <w:name w:val="Def"/>
    <w:basedOn w:val="hengende-innrykk"/>
    <w:rsid w:val="002C40BD"/>
    <w:pPr>
      <w:spacing w:line="240" w:lineRule="auto"/>
      <w:ind w:left="0" w:firstLine="0"/>
    </w:pPr>
    <w:rPr>
      <w:rFonts w:ascii="Times" w:eastAsia="Batang" w:hAnsi="Times"/>
      <w:spacing w:val="0"/>
      <w:szCs w:val="20"/>
    </w:rPr>
  </w:style>
  <w:style w:type="paragraph" w:customStyle="1" w:styleId="del-nr">
    <w:name w:val="del-nr"/>
    <w:basedOn w:val="Normal"/>
    <w:qFormat/>
    <w:rsid w:val="002C40BD"/>
    <w:pPr>
      <w:keepNext/>
      <w:keepLines/>
      <w:spacing w:before="360" w:after="0" w:line="240" w:lineRule="auto"/>
      <w:jc w:val="center"/>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2C40BD"/>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2C40BD"/>
  </w:style>
  <w:style w:type="paragraph" w:customStyle="1" w:styleId="figur-noter">
    <w:name w:val="figur-noter"/>
    <w:basedOn w:val="Normal"/>
    <w:next w:val="Normal"/>
    <w:rsid w:val="002C40B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2C40BD"/>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2C40B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2C40BD"/>
    <w:pPr>
      <w:keepNext/>
      <w:spacing w:before="360" w:after="60" w:line="240" w:lineRule="auto"/>
      <w:jc w:val="center"/>
    </w:pPr>
    <w:rPr>
      <w:rFonts w:ascii="Times" w:eastAsia="Batang" w:hAnsi="Times" w:cs="Times New Roman"/>
      <w:b/>
      <w:spacing w:val="0"/>
      <w:szCs w:val="20"/>
    </w:rPr>
  </w:style>
  <w:style w:type="paragraph" w:customStyle="1" w:styleId="friliste">
    <w:name w:val="friliste"/>
    <w:basedOn w:val="Normal"/>
    <w:qFormat/>
    <w:rsid w:val="002C40BD"/>
    <w:pPr>
      <w:tabs>
        <w:tab w:val="left" w:pos="397"/>
      </w:tabs>
      <w:spacing w:after="0"/>
      <w:ind w:left="397" w:hanging="397"/>
    </w:pPr>
    <w:rPr>
      <w:spacing w:val="0"/>
    </w:rPr>
  </w:style>
  <w:style w:type="paragraph" w:customStyle="1" w:styleId="friliste2">
    <w:name w:val="friliste 2"/>
    <w:basedOn w:val="Normal"/>
    <w:qFormat/>
    <w:rsid w:val="002C40BD"/>
    <w:pPr>
      <w:tabs>
        <w:tab w:val="left" w:pos="794"/>
      </w:tabs>
      <w:spacing w:after="0"/>
      <w:ind w:left="794" w:hanging="397"/>
    </w:pPr>
    <w:rPr>
      <w:spacing w:val="0"/>
    </w:rPr>
  </w:style>
  <w:style w:type="paragraph" w:customStyle="1" w:styleId="friliste3">
    <w:name w:val="friliste 3"/>
    <w:basedOn w:val="Normal"/>
    <w:qFormat/>
    <w:rsid w:val="002C40BD"/>
    <w:pPr>
      <w:tabs>
        <w:tab w:val="left" w:pos="1191"/>
      </w:tabs>
      <w:spacing w:after="0"/>
      <w:ind w:left="1191" w:hanging="397"/>
    </w:pPr>
    <w:rPr>
      <w:spacing w:val="0"/>
    </w:rPr>
  </w:style>
  <w:style w:type="paragraph" w:customStyle="1" w:styleId="friliste4">
    <w:name w:val="friliste 4"/>
    <w:basedOn w:val="Normal"/>
    <w:qFormat/>
    <w:rsid w:val="002C40BD"/>
    <w:pPr>
      <w:tabs>
        <w:tab w:val="left" w:pos="1588"/>
      </w:tabs>
      <w:spacing w:after="0"/>
      <w:ind w:left="1588" w:hanging="397"/>
    </w:pPr>
    <w:rPr>
      <w:spacing w:val="0"/>
    </w:rPr>
  </w:style>
  <w:style w:type="paragraph" w:customStyle="1" w:styleId="friliste5">
    <w:name w:val="friliste 5"/>
    <w:basedOn w:val="Normal"/>
    <w:qFormat/>
    <w:rsid w:val="002C40BD"/>
    <w:pPr>
      <w:tabs>
        <w:tab w:val="left" w:pos="1985"/>
      </w:tabs>
      <w:spacing w:after="0"/>
      <w:ind w:left="1985" w:hanging="397"/>
    </w:pPr>
    <w:rPr>
      <w:spacing w:val="0"/>
    </w:rPr>
  </w:style>
  <w:style w:type="paragraph" w:customStyle="1" w:styleId="Fullmakttit">
    <w:name w:val="Fullmakttit"/>
    <w:basedOn w:val="Normal"/>
    <w:next w:val="Normal"/>
    <w:rsid w:val="002C40BD"/>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2C40BD"/>
    <w:pPr>
      <w:jc w:val="right"/>
    </w:pPr>
    <w:rPr>
      <w:rFonts w:ascii="Times" w:hAnsi="Times"/>
      <w:b/>
      <w:noProof/>
    </w:rPr>
  </w:style>
  <w:style w:type="paragraph" w:customStyle="1" w:styleId="i-dep">
    <w:name w:val="i-dep"/>
    <w:basedOn w:val="Normal"/>
    <w:next w:val="Normal"/>
    <w:rsid w:val="002C40BD"/>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2C40BD"/>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2C40BD"/>
    <w:pPr>
      <w:keepNext/>
      <w:keepLines/>
      <w:jc w:val="center"/>
    </w:pPr>
    <w:rPr>
      <w:rFonts w:eastAsia="Batang"/>
      <w:b/>
      <w:sz w:val="28"/>
    </w:rPr>
  </w:style>
  <w:style w:type="paragraph" w:customStyle="1" w:styleId="i-mtit">
    <w:name w:val="i-mtit"/>
    <w:basedOn w:val="Normal"/>
    <w:next w:val="Normal"/>
    <w:rsid w:val="002C40BD"/>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2C40BD"/>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2C40BD"/>
    <w:pPr>
      <w:spacing w:after="0"/>
      <w:jc w:val="center"/>
    </w:pPr>
    <w:rPr>
      <w:rFonts w:ascii="Times" w:hAnsi="Times"/>
      <w:i/>
      <w:noProof/>
    </w:rPr>
  </w:style>
  <w:style w:type="paragraph" w:customStyle="1" w:styleId="i-termin">
    <w:name w:val="i-termin"/>
    <w:basedOn w:val="Normal"/>
    <w:next w:val="Normal"/>
    <w:rsid w:val="002C40BD"/>
    <w:pPr>
      <w:spacing w:before="360"/>
      <w:jc w:val="center"/>
    </w:pPr>
    <w:rPr>
      <w:b/>
      <w:noProof/>
      <w:sz w:val="28"/>
    </w:rPr>
  </w:style>
  <w:style w:type="paragraph" w:customStyle="1" w:styleId="i-tit">
    <w:name w:val="i-tit"/>
    <w:basedOn w:val="Normal"/>
    <w:next w:val="i-statsrdato"/>
    <w:rsid w:val="002C40B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2C40BD"/>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2C40BD"/>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2C40BD"/>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2C40BD"/>
    <w:pPr>
      <w:numPr>
        <w:numId w:val="164"/>
      </w:numPr>
    </w:pPr>
    <w:rPr>
      <w:rFonts w:eastAsiaTheme="minorEastAsia"/>
    </w:rPr>
  </w:style>
  <w:style w:type="paragraph" w:customStyle="1" w:styleId="l-alfaliste2">
    <w:name w:val="l-alfaliste 2"/>
    <w:basedOn w:val="alfaliste2"/>
    <w:qFormat/>
    <w:rsid w:val="002C40BD"/>
    <w:pPr>
      <w:numPr>
        <w:numId w:val="164"/>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2C40BD"/>
    <w:pPr>
      <w:numPr>
        <w:numId w:val="164"/>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2C40BD"/>
    <w:pPr>
      <w:numPr>
        <w:numId w:val="164"/>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2C40BD"/>
    <w:pPr>
      <w:numPr>
        <w:numId w:val="164"/>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2C40BD"/>
    <w:rPr>
      <w:lang w:val="nn-NO"/>
    </w:rPr>
  </w:style>
  <w:style w:type="paragraph" w:customStyle="1" w:styleId="l-ledd">
    <w:name w:val="l-ledd"/>
    <w:basedOn w:val="Normal"/>
    <w:qFormat/>
    <w:rsid w:val="002C40BD"/>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2C40B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2C40B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2C40B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2C40BD"/>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2C40BD"/>
    <w:pPr>
      <w:tabs>
        <w:tab w:val="left" w:pos="284"/>
      </w:tabs>
      <w:spacing w:before="120" w:line="240" w:lineRule="auto"/>
      <w:contextualSpacing/>
    </w:pPr>
    <w:rPr>
      <w:rFonts w:ascii="Times" w:eastAsia="Batang" w:hAnsi="Times"/>
      <w:spacing w:val="0"/>
      <w:sz w:val="20"/>
      <w:szCs w:val="20"/>
    </w:rPr>
  </w:style>
  <w:style w:type="paragraph" w:customStyle="1" w:styleId="l-tit-endr-avsnitt">
    <w:name w:val="l-tit-endr-avsnitt"/>
    <w:basedOn w:val="l-tit-endr-lovkap"/>
    <w:qFormat/>
    <w:rsid w:val="002C40BD"/>
  </w:style>
  <w:style w:type="paragraph" w:customStyle="1" w:styleId="l-tit-endr-ledd">
    <w:name w:val="l-tit-endr-ledd"/>
    <w:basedOn w:val="Normal"/>
    <w:qFormat/>
    <w:rsid w:val="002C40BD"/>
    <w:pPr>
      <w:keepNext/>
      <w:spacing w:before="240" w:after="0" w:line="240" w:lineRule="auto"/>
    </w:pPr>
    <w:rPr>
      <w:rFonts w:ascii="Times" w:hAnsi="Times"/>
      <w:noProof/>
      <w:lang w:val="nn-NO"/>
    </w:rPr>
  </w:style>
  <w:style w:type="paragraph" w:customStyle="1" w:styleId="l-tit-endr-lov">
    <w:name w:val="l-tit-endr-lov"/>
    <w:basedOn w:val="Normal"/>
    <w:qFormat/>
    <w:rsid w:val="002C40B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2C40BD"/>
    <w:pPr>
      <w:keepNext/>
      <w:spacing w:before="240" w:after="0" w:line="240" w:lineRule="auto"/>
    </w:pPr>
    <w:rPr>
      <w:rFonts w:ascii="Times" w:hAnsi="Times"/>
      <w:noProof/>
      <w:lang w:val="nn-NO"/>
    </w:rPr>
  </w:style>
  <w:style w:type="paragraph" w:customStyle="1" w:styleId="l-tit-endr-lovkap">
    <w:name w:val="l-tit-endr-lovkap"/>
    <w:basedOn w:val="Normal"/>
    <w:qFormat/>
    <w:rsid w:val="002C40BD"/>
    <w:pPr>
      <w:keepNext/>
      <w:spacing w:before="240" w:after="0" w:line="240" w:lineRule="auto"/>
    </w:pPr>
    <w:rPr>
      <w:rFonts w:ascii="Times" w:hAnsi="Times"/>
      <w:noProof/>
      <w:lang w:val="nn-NO"/>
    </w:rPr>
  </w:style>
  <w:style w:type="paragraph" w:customStyle="1" w:styleId="l-tit-endr-paragraf">
    <w:name w:val="l-tit-endr-paragraf"/>
    <w:basedOn w:val="Normal"/>
    <w:qFormat/>
    <w:rsid w:val="002C40BD"/>
    <w:pPr>
      <w:keepNext/>
      <w:spacing w:before="240" w:after="0" w:line="240" w:lineRule="auto"/>
    </w:pPr>
    <w:rPr>
      <w:rFonts w:ascii="Times" w:hAnsi="Times"/>
      <w:noProof/>
      <w:lang w:val="nn-NO"/>
    </w:rPr>
  </w:style>
  <w:style w:type="paragraph" w:customStyle="1" w:styleId="l-tit-endr-punktum">
    <w:name w:val="l-tit-endr-punktum"/>
    <w:basedOn w:val="l-tit-endr-ledd"/>
    <w:qFormat/>
    <w:rsid w:val="002C40B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2C40BD"/>
    <w:pPr>
      <w:numPr>
        <w:numId w:val="158"/>
      </w:numPr>
      <w:spacing w:line="240" w:lineRule="auto"/>
      <w:contextualSpacing/>
    </w:pPr>
  </w:style>
  <w:style w:type="paragraph" w:styleId="Liste2">
    <w:name w:val="List 2"/>
    <w:basedOn w:val="Normal"/>
    <w:rsid w:val="002C40BD"/>
    <w:pPr>
      <w:numPr>
        <w:ilvl w:val="1"/>
        <w:numId w:val="158"/>
      </w:numPr>
      <w:spacing w:after="0"/>
    </w:pPr>
  </w:style>
  <w:style w:type="paragraph" w:styleId="Liste3">
    <w:name w:val="List 3"/>
    <w:basedOn w:val="Normal"/>
    <w:rsid w:val="002C40BD"/>
    <w:pPr>
      <w:numPr>
        <w:ilvl w:val="2"/>
        <w:numId w:val="158"/>
      </w:numPr>
      <w:spacing w:after="0"/>
    </w:pPr>
    <w:rPr>
      <w:spacing w:val="0"/>
    </w:rPr>
  </w:style>
  <w:style w:type="paragraph" w:styleId="Liste4">
    <w:name w:val="List 4"/>
    <w:basedOn w:val="Normal"/>
    <w:rsid w:val="002C40BD"/>
    <w:pPr>
      <w:numPr>
        <w:ilvl w:val="3"/>
        <w:numId w:val="158"/>
      </w:numPr>
      <w:spacing w:after="0"/>
    </w:pPr>
    <w:rPr>
      <w:spacing w:val="0"/>
    </w:rPr>
  </w:style>
  <w:style w:type="paragraph" w:styleId="Liste5">
    <w:name w:val="List 5"/>
    <w:basedOn w:val="Normal"/>
    <w:rsid w:val="002C40BD"/>
    <w:pPr>
      <w:numPr>
        <w:ilvl w:val="4"/>
        <w:numId w:val="158"/>
      </w:numPr>
      <w:spacing w:after="0"/>
    </w:pPr>
    <w:rPr>
      <w:spacing w:val="0"/>
    </w:rPr>
  </w:style>
  <w:style w:type="paragraph" w:customStyle="1" w:styleId="Listebombe">
    <w:name w:val="Liste bombe"/>
    <w:basedOn w:val="Liste"/>
    <w:qFormat/>
    <w:rsid w:val="002C40BD"/>
    <w:pPr>
      <w:numPr>
        <w:numId w:val="166"/>
      </w:numPr>
      <w:tabs>
        <w:tab w:val="left" w:pos="397"/>
      </w:tabs>
      <w:ind w:left="397" w:hanging="397"/>
    </w:pPr>
  </w:style>
  <w:style w:type="paragraph" w:customStyle="1" w:styleId="Listebombe2">
    <w:name w:val="Liste bombe 2"/>
    <w:basedOn w:val="Liste2"/>
    <w:qFormat/>
    <w:rsid w:val="002C40BD"/>
    <w:pPr>
      <w:numPr>
        <w:ilvl w:val="0"/>
        <w:numId w:val="167"/>
      </w:numPr>
      <w:ind w:left="794" w:hanging="397"/>
    </w:pPr>
  </w:style>
  <w:style w:type="paragraph" w:customStyle="1" w:styleId="Listebombe3">
    <w:name w:val="Liste bombe 3"/>
    <w:basedOn w:val="Liste3"/>
    <w:qFormat/>
    <w:rsid w:val="002C40BD"/>
    <w:pPr>
      <w:numPr>
        <w:ilvl w:val="0"/>
        <w:numId w:val="168"/>
      </w:numPr>
      <w:ind w:left="1191" w:hanging="397"/>
    </w:pPr>
  </w:style>
  <w:style w:type="paragraph" w:customStyle="1" w:styleId="Listebombe4">
    <w:name w:val="Liste bombe 4"/>
    <w:basedOn w:val="Liste4"/>
    <w:qFormat/>
    <w:rsid w:val="002C40BD"/>
    <w:pPr>
      <w:numPr>
        <w:ilvl w:val="0"/>
        <w:numId w:val="169"/>
      </w:numPr>
      <w:ind w:left="1588" w:hanging="397"/>
    </w:pPr>
  </w:style>
  <w:style w:type="paragraph" w:customStyle="1" w:styleId="Listebombe5">
    <w:name w:val="Liste bombe 5"/>
    <w:basedOn w:val="Liste5"/>
    <w:qFormat/>
    <w:rsid w:val="002C40BD"/>
    <w:pPr>
      <w:numPr>
        <w:ilvl w:val="0"/>
        <w:numId w:val="170"/>
      </w:numPr>
      <w:ind w:left="1985" w:hanging="397"/>
    </w:pPr>
  </w:style>
  <w:style w:type="paragraph" w:customStyle="1" w:styleId="Normalref">
    <w:name w:val="Normalref"/>
    <w:basedOn w:val="Normal"/>
    <w:qFormat/>
    <w:rsid w:val="002C40BD"/>
    <w:pPr>
      <w:spacing w:after="0"/>
      <w:ind w:left="397" w:hanging="397"/>
    </w:pPr>
    <w:rPr>
      <w:spacing w:val="0"/>
    </w:rPr>
  </w:style>
  <w:style w:type="paragraph" w:customStyle="1" w:styleId="tittel-ramme">
    <w:name w:val="tittel-ramme"/>
    <w:basedOn w:val="Normal"/>
    <w:next w:val="Normal"/>
    <w:rsid w:val="002C40BD"/>
    <w:pPr>
      <w:keepNext/>
      <w:keepLines/>
      <w:numPr>
        <w:ilvl w:val="7"/>
        <w:numId w:val="173"/>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hengende-innrykk">
    <w:name w:val="hengende-innrykk"/>
    <w:basedOn w:val="Normal"/>
    <w:next w:val="Normal"/>
    <w:rsid w:val="002C40BD"/>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2C40BD"/>
    <w:pPr>
      <w:numPr>
        <w:numId w:val="156"/>
      </w:numPr>
      <w:spacing w:after="0"/>
    </w:pPr>
    <w:rPr>
      <w:rFonts w:ascii="Times" w:eastAsia="Batang" w:hAnsi="Times"/>
      <w:spacing w:val="0"/>
      <w:szCs w:val="20"/>
    </w:rPr>
  </w:style>
  <w:style w:type="paragraph" w:styleId="Nummerertliste2">
    <w:name w:val="List Number 2"/>
    <w:basedOn w:val="Normal"/>
    <w:rsid w:val="002C40BD"/>
    <w:pPr>
      <w:numPr>
        <w:ilvl w:val="1"/>
        <w:numId w:val="156"/>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2C40BD"/>
    <w:pPr>
      <w:numPr>
        <w:ilvl w:val="2"/>
        <w:numId w:val="156"/>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2C40BD"/>
    <w:pPr>
      <w:numPr>
        <w:ilvl w:val="3"/>
        <w:numId w:val="156"/>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2C40BD"/>
    <w:pPr>
      <w:numPr>
        <w:ilvl w:val="4"/>
        <w:numId w:val="156"/>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2C40BD"/>
    <w:pPr>
      <w:spacing w:after="0"/>
      <w:ind w:left="397"/>
    </w:pPr>
    <w:rPr>
      <w:spacing w:val="0"/>
      <w:lang w:val="en-US"/>
    </w:rPr>
  </w:style>
  <w:style w:type="paragraph" w:customStyle="1" w:styleId="opplisting3">
    <w:name w:val="opplisting 3"/>
    <w:basedOn w:val="Normal"/>
    <w:qFormat/>
    <w:rsid w:val="002C40BD"/>
    <w:pPr>
      <w:spacing w:after="0"/>
      <w:ind w:left="794"/>
    </w:pPr>
    <w:rPr>
      <w:spacing w:val="0"/>
    </w:rPr>
  </w:style>
  <w:style w:type="paragraph" w:customStyle="1" w:styleId="opplisting4">
    <w:name w:val="opplisting 4"/>
    <w:basedOn w:val="Normal"/>
    <w:qFormat/>
    <w:rsid w:val="002C40BD"/>
    <w:pPr>
      <w:spacing w:after="0"/>
      <w:ind w:left="1191"/>
    </w:pPr>
    <w:rPr>
      <w:spacing w:val="0"/>
    </w:rPr>
  </w:style>
  <w:style w:type="paragraph" w:customStyle="1" w:styleId="opplisting5">
    <w:name w:val="opplisting 5"/>
    <w:basedOn w:val="Normal"/>
    <w:qFormat/>
    <w:rsid w:val="002C40BD"/>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2C40BD"/>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2C40BD"/>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2C40BD"/>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2C40BD"/>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2C40BD"/>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2C40BD"/>
    <w:pPr>
      <w:keepNext/>
      <w:keepLines/>
      <w:spacing w:before="240"/>
      <w:jc w:val="center"/>
    </w:pPr>
    <w:rPr>
      <w:spacing w:val="30"/>
    </w:rPr>
  </w:style>
  <w:style w:type="character" w:customStyle="1" w:styleId="Overskrift4Tegn">
    <w:name w:val="Overskrift 4 Tegn"/>
    <w:basedOn w:val="Standardskriftforavsnitt"/>
    <w:link w:val="Overskrift4"/>
    <w:rsid w:val="002C40BD"/>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2C40BD"/>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2C40BD"/>
    <w:rPr>
      <w:spacing w:val="6"/>
      <w:sz w:val="19"/>
    </w:rPr>
  </w:style>
  <w:style w:type="paragraph" w:customStyle="1" w:styleId="ramme-noter">
    <w:name w:val="ramme-noter"/>
    <w:basedOn w:val="Normal"/>
    <w:next w:val="Normal"/>
    <w:rsid w:val="002C40BD"/>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2C40B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2C40BD"/>
    <w:pPr>
      <w:numPr>
        <w:numId w:val="165"/>
      </w:numPr>
      <w:spacing w:after="0" w:line="240" w:lineRule="auto"/>
    </w:pPr>
    <w:rPr>
      <w:rFonts w:ascii="Times" w:eastAsia="Batang" w:hAnsi="Times"/>
      <w:spacing w:val="0"/>
      <w:szCs w:val="20"/>
    </w:rPr>
  </w:style>
  <w:style w:type="paragraph" w:customStyle="1" w:styleId="romertallliste2">
    <w:name w:val="romertall liste 2"/>
    <w:basedOn w:val="Normal"/>
    <w:rsid w:val="002C40BD"/>
    <w:pPr>
      <w:numPr>
        <w:ilvl w:val="1"/>
        <w:numId w:val="165"/>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2C40BD"/>
    <w:pPr>
      <w:numPr>
        <w:ilvl w:val="2"/>
        <w:numId w:val="165"/>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2C40BD"/>
    <w:pPr>
      <w:numPr>
        <w:ilvl w:val="3"/>
        <w:numId w:val="165"/>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2C40BD"/>
    <w:pPr>
      <w:numPr>
        <w:ilvl w:val="4"/>
        <w:numId w:val="165"/>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2C40B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2C40BD"/>
    <w:pPr>
      <w:keepNext/>
      <w:keepLines/>
      <w:numPr>
        <w:ilvl w:val="6"/>
        <w:numId w:val="173"/>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2C40B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2C40B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2C40B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2C40BD"/>
    <w:pPr>
      <w:keepNext/>
      <w:keepLines/>
      <w:spacing w:before="360" w:after="240"/>
      <w:jc w:val="center"/>
    </w:pPr>
    <w:rPr>
      <w:rFonts w:ascii="Arial" w:hAnsi="Arial"/>
      <w:b/>
      <w:sz w:val="28"/>
    </w:rPr>
  </w:style>
  <w:style w:type="paragraph" w:customStyle="1" w:styleId="tittel-ordforkl">
    <w:name w:val="tittel-ordforkl"/>
    <w:basedOn w:val="Normal"/>
    <w:next w:val="Normal"/>
    <w:rsid w:val="002C40BD"/>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2C40BD"/>
    <w:pPr>
      <w:keepNext/>
      <w:keepLines/>
      <w:spacing w:before="360"/>
    </w:pPr>
    <w:rPr>
      <w:rFonts w:ascii="Arial" w:hAnsi="Arial"/>
      <w:b/>
      <w:sz w:val="28"/>
    </w:rPr>
  </w:style>
  <w:style w:type="character" w:customStyle="1" w:styleId="UndertittelTegn">
    <w:name w:val="Undertittel Tegn"/>
    <w:basedOn w:val="Standardskriftforavsnitt"/>
    <w:link w:val="Undertittel"/>
    <w:rsid w:val="002C40BD"/>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2C40BD"/>
    <w:pPr>
      <w:numPr>
        <w:numId w:val="0"/>
      </w:numPr>
    </w:pPr>
    <w:rPr>
      <w:b w:val="0"/>
      <w:i/>
    </w:rPr>
  </w:style>
  <w:style w:type="paragraph" w:customStyle="1" w:styleId="Undervedl-tittel">
    <w:name w:val="Undervedl-tittel"/>
    <w:basedOn w:val="Normal"/>
    <w:next w:val="Normal"/>
    <w:rsid w:val="002C40B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C40BD"/>
    <w:pPr>
      <w:numPr>
        <w:numId w:val="0"/>
      </w:numPr>
      <w:outlineLvl w:val="9"/>
    </w:pPr>
  </w:style>
  <w:style w:type="paragraph" w:customStyle="1" w:styleId="v-Overskrift2">
    <w:name w:val="v-Overskrift 2"/>
    <w:basedOn w:val="Overskrift2"/>
    <w:next w:val="Normal"/>
    <w:rsid w:val="002C40B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2C40B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2C40BD"/>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2C40BD"/>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2C40BD"/>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2C40BD"/>
    <w:pPr>
      <w:numPr>
        <w:ilvl w:val="5"/>
        <w:numId w:val="173"/>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2C40BD"/>
    <w:pPr>
      <w:keepNext/>
      <w:keepLines/>
      <w:numPr>
        <w:numId w:val="154"/>
      </w:numPr>
      <w:ind w:left="357" w:hanging="357"/>
      <w:outlineLvl w:val="0"/>
    </w:pPr>
    <w:rPr>
      <w:rFonts w:ascii="Arial" w:hAnsi="Arial"/>
      <w:b/>
      <w:u w:val="single"/>
    </w:rPr>
  </w:style>
  <w:style w:type="paragraph" w:customStyle="1" w:styleId="Kilde">
    <w:name w:val="Kilde"/>
    <w:basedOn w:val="Normal"/>
    <w:next w:val="Normal"/>
    <w:rsid w:val="002C40BD"/>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2C40BD"/>
    <w:rPr>
      <w:color w:val="467886" w:themeColor="hyperlink"/>
      <w:u w:val="single"/>
    </w:rPr>
  </w:style>
  <w:style w:type="character" w:customStyle="1" w:styleId="BunntekstTegn">
    <w:name w:val="Bunntekst Tegn"/>
    <w:basedOn w:val="Standardskriftforavsnitt"/>
    <w:link w:val="Bunntekst"/>
    <w:rsid w:val="002C40BD"/>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2C40BD"/>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2C40BD"/>
    <w:rPr>
      <w:vertAlign w:val="superscript"/>
    </w:rPr>
  </w:style>
  <w:style w:type="character" w:customStyle="1" w:styleId="gjennomstreket">
    <w:name w:val="gjennomstreket"/>
    <w:uiPriority w:val="1"/>
    <w:rsid w:val="002C40BD"/>
    <w:rPr>
      <w:strike/>
      <w:dstrike w:val="0"/>
    </w:rPr>
  </w:style>
  <w:style w:type="character" w:customStyle="1" w:styleId="halvfet0">
    <w:name w:val="halvfet"/>
    <w:basedOn w:val="Standardskriftforavsnitt"/>
    <w:rsid w:val="002C40BD"/>
    <w:rPr>
      <w:b/>
    </w:rPr>
  </w:style>
  <w:style w:type="character" w:customStyle="1" w:styleId="kursiv">
    <w:name w:val="kursiv"/>
    <w:basedOn w:val="Standardskriftforavsnitt"/>
    <w:rsid w:val="002C40BD"/>
    <w:rPr>
      <w:i/>
    </w:rPr>
  </w:style>
  <w:style w:type="character" w:customStyle="1" w:styleId="l-endring">
    <w:name w:val="l-endring"/>
    <w:basedOn w:val="Standardskriftforavsnitt"/>
    <w:rsid w:val="002C40B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C40BD"/>
  </w:style>
  <w:style w:type="character" w:styleId="Plassholdertekst">
    <w:name w:val="Placeholder Text"/>
    <w:basedOn w:val="Standardskriftforavsnitt"/>
    <w:uiPriority w:val="99"/>
    <w:rsid w:val="002C40BD"/>
    <w:rPr>
      <w:color w:val="808080"/>
    </w:rPr>
  </w:style>
  <w:style w:type="character" w:customStyle="1" w:styleId="regular">
    <w:name w:val="regular"/>
    <w:basedOn w:val="Standardskriftforavsnitt"/>
    <w:uiPriority w:val="1"/>
    <w:qFormat/>
    <w:rsid w:val="002C40BD"/>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2C40BD"/>
    <w:rPr>
      <w:vertAlign w:val="superscript"/>
    </w:rPr>
  </w:style>
  <w:style w:type="character" w:customStyle="1" w:styleId="skrift-senket">
    <w:name w:val="skrift-senket"/>
    <w:basedOn w:val="Standardskriftforavsnitt"/>
    <w:rsid w:val="002C40BD"/>
    <w:rPr>
      <w:vertAlign w:val="subscript"/>
    </w:rPr>
  </w:style>
  <w:style w:type="character" w:customStyle="1" w:styleId="SluttnotetekstTegn">
    <w:name w:val="Sluttnotetekst Tegn"/>
    <w:basedOn w:val="Standardskriftforavsnitt"/>
    <w:link w:val="Sluttnotetekst"/>
    <w:uiPriority w:val="99"/>
    <w:semiHidden/>
    <w:rsid w:val="002C40BD"/>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2C40BD"/>
    <w:rPr>
      <w:spacing w:val="30"/>
    </w:rPr>
  </w:style>
  <w:style w:type="character" w:customStyle="1" w:styleId="SterktsitatTegn">
    <w:name w:val="Sterkt sitat Tegn"/>
    <w:basedOn w:val="Standardskriftforavsnitt"/>
    <w:link w:val="Sterktsitat"/>
    <w:uiPriority w:val="30"/>
    <w:rsid w:val="002C40BD"/>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2C40BD"/>
    <w:rPr>
      <w:color w:val="0000FF"/>
    </w:rPr>
  </w:style>
  <w:style w:type="character" w:customStyle="1" w:styleId="stikkord0">
    <w:name w:val="stikkord"/>
    <w:uiPriority w:val="99"/>
  </w:style>
  <w:style w:type="character" w:styleId="Sterk">
    <w:name w:val="Strong"/>
    <w:basedOn w:val="Standardskriftforavsnitt"/>
    <w:uiPriority w:val="22"/>
    <w:qFormat/>
    <w:rsid w:val="002C40BD"/>
    <w:rPr>
      <w:b/>
      <w:bCs/>
    </w:rPr>
  </w:style>
  <w:style w:type="character" w:customStyle="1" w:styleId="TopptekstTegn">
    <w:name w:val="Topptekst Tegn"/>
    <w:basedOn w:val="Standardskriftforavsnitt"/>
    <w:link w:val="Topptekst"/>
    <w:rsid w:val="002C40BD"/>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2C40BD"/>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2C40BD"/>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2C40BD"/>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2C40BD"/>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2C40BD"/>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2C40BD"/>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2C40BD"/>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C40BD"/>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2C40BD"/>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C40BD"/>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2C40BD"/>
    <w:pPr>
      <w:tabs>
        <w:tab w:val="center" w:pos="4153"/>
        <w:tab w:val="right" w:pos="8306"/>
      </w:tabs>
    </w:pPr>
    <w:rPr>
      <w:sz w:val="20"/>
    </w:rPr>
  </w:style>
  <w:style w:type="character" w:customStyle="1" w:styleId="BunntekstTegn1">
    <w:name w:val="Bunntekst Tegn1"/>
    <w:basedOn w:val="Standardskriftforavsnitt"/>
    <w:uiPriority w:val="99"/>
    <w:semiHidden/>
    <w:rsid w:val="00E374E2"/>
    <w:rPr>
      <w:rFonts w:ascii="Times New Roman" w:eastAsia="Times New Roman" w:hAnsi="Times New Roman"/>
      <w:spacing w:val="4"/>
      <w:kern w:val="0"/>
      <w:szCs w:val="22"/>
      <w14:ligatures w14:val="none"/>
    </w:rPr>
  </w:style>
  <w:style w:type="paragraph" w:styleId="INNH1">
    <w:name w:val="toc 1"/>
    <w:basedOn w:val="Normal"/>
    <w:next w:val="Normal"/>
    <w:uiPriority w:val="39"/>
    <w:rsid w:val="002C40BD"/>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2C40BD"/>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2C40BD"/>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2C40BD"/>
    <w:pPr>
      <w:tabs>
        <w:tab w:val="right" w:leader="dot" w:pos="8306"/>
      </w:tabs>
      <w:ind w:left="600"/>
    </w:pPr>
    <w:rPr>
      <w:spacing w:val="0"/>
    </w:rPr>
  </w:style>
  <w:style w:type="paragraph" w:styleId="INNH5">
    <w:name w:val="toc 5"/>
    <w:basedOn w:val="Normal"/>
    <w:next w:val="Normal"/>
    <w:rsid w:val="002C40BD"/>
    <w:pPr>
      <w:tabs>
        <w:tab w:val="right" w:leader="dot" w:pos="8306"/>
      </w:tabs>
      <w:ind w:left="800"/>
    </w:pPr>
    <w:rPr>
      <w:spacing w:val="0"/>
    </w:rPr>
  </w:style>
  <w:style w:type="character" w:styleId="Merknadsreferanse">
    <w:name w:val="annotation reference"/>
    <w:basedOn w:val="Standardskriftforavsnitt"/>
    <w:rsid w:val="002C40BD"/>
    <w:rPr>
      <w:sz w:val="16"/>
    </w:rPr>
  </w:style>
  <w:style w:type="paragraph" w:styleId="Merknadstekst">
    <w:name w:val="annotation text"/>
    <w:basedOn w:val="Normal"/>
    <w:link w:val="MerknadstekstTegn"/>
    <w:rsid w:val="002C40BD"/>
    <w:rPr>
      <w:spacing w:val="0"/>
      <w:sz w:val="20"/>
    </w:rPr>
  </w:style>
  <w:style w:type="character" w:customStyle="1" w:styleId="MerknadstekstTegn">
    <w:name w:val="Merknadstekst Tegn"/>
    <w:basedOn w:val="Standardskriftforavsnitt"/>
    <w:link w:val="Merknadstekst"/>
    <w:rsid w:val="002C40BD"/>
    <w:rPr>
      <w:rFonts w:ascii="Times New Roman" w:eastAsia="Times New Roman" w:hAnsi="Times New Roman"/>
      <w:kern w:val="0"/>
      <w:sz w:val="20"/>
      <w:szCs w:val="22"/>
      <w14:ligatures w14:val="none"/>
    </w:rPr>
  </w:style>
  <w:style w:type="paragraph" w:styleId="Punktliste">
    <w:name w:val="List Bullet"/>
    <w:basedOn w:val="Normal"/>
    <w:rsid w:val="002C40BD"/>
    <w:pPr>
      <w:spacing w:after="0"/>
      <w:ind w:left="284" w:hanging="284"/>
    </w:pPr>
  </w:style>
  <w:style w:type="paragraph" w:styleId="Punktliste2">
    <w:name w:val="List Bullet 2"/>
    <w:basedOn w:val="Normal"/>
    <w:rsid w:val="002C40BD"/>
    <w:pPr>
      <w:spacing w:after="0"/>
      <w:ind w:left="568" w:hanging="284"/>
    </w:pPr>
  </w:style>
  <w:style w:type="paragraph" w:styleId="Punktliste3">
    <w:name w:val="List Bullet 3"/>
    <w:basedOn w:val="Normal"/>
    <w:rsid w:val="002C40BD"/>
    <w:pPr>
      <w:spacing w:after="0"/>
      <w:ind w:left="851" w:hanging="284"/>
    </w:pPr>
  </w:style>
  <w:style w:type="paragraph" w:styleId="Punktliste4">
    <w:name w:val="List Bullet 4"/>
    <w:basedOn w:val="Normal"/>
    <w:rsid w:val="002C40BD"/>
    <w:pPr>
      <w:spacing w:after="0"/>
      <w:ind w:left="1135" w:hanging="284"/>
    </w:pPr>
    <w:rPr>
      <w:spacing w:val="0"/>
    </w:rPr>
  </w:style>
  <w:style w:type="paragraph" w:styleId="Punktliste5">
    <w:name w:val="List Bullet 5"/>
    <w:basedOn w:val="Normal"/>
    <w:rsid w:val="002C40BD"/>
    <w:pPr>
      <w:spacing w:after="0"/>
      <w:ind w:left="1418" w:hanging="284"/>
    </w:pPr>
    <w:rPr>
      <w:spacing w:val="0"/>
    </w:rPr>
  </w:style>
  <w:style w:type="paragraph" w:styleId="Topptekst">
    <w:name w:val="header"/>
    <w:basedOn w:val="Normal"/>
    <w:link w:val="TopptekstTegn"/>
    <w:rsid w:val="002C40B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374E2"/>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2C40BD"/>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2C40BD"/>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C40B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2C40BD"/>
    <w:pPr>
      <w:spacing w:after="0" w:line="240" w:lineRule="auto"/>
      <w:ind w:left="240" w:hanging="240"/>
    </w:pPr>
  </w:style>
  <w:style w:type="paragraph" w:styleId="Indeks2">
    <w:name w:val="index 2"/>
    <w:basedOn w:val="Normal"/>
    <w:next w:val="Normal"/>
    <w:autoRedefine/>
    <w:uiPriority w:val="99"/>
    <w:semiHidden/>
    <w:unhideWhenUsed/>
    <w:rsid w:val="002C40BD"/>
    <w:pPr>
      <w:spacing w:after="0" w:line="240" w:lineRule="auto"/>
      <w:ind w:left="480" w:hanging="240"/>
    </w:pPr>
  </w:style>
  <w:style w:type="paragraph" w:styleId="Indeks3">
    <w:name w:val="index 3"/>
    <w:basedOn w:val="Normal"/>
    <w:next w:val="Normal"/>
    <w:autoRedefine/>
    <w:uiPriority w:val="99"/>
    <w:semiHidden/>
    <w:unhideWhenUsed/>
    <w:rsid w:val="002C40BD"/>
    <w:pPr>
      <w:spacing w:after="0" w:line="240" w:lineRule="auto"/>
      <w:ind w:left="720" w:hanging="240"/>
    </w:pPr>
  </w:style>
  <w:style w:type="paragraph" w:styleId="Indeks4">
    <w:name w:val="index 4"/>
    <w:basedOn w:val="Normal"/>
    <w:next w:val="Normal"/>
    <w:autoRedefine/>
    <w:uiPriority w:val="99"/>
    <w:semiHidden/>
    <w:unhideWhenUsed/>
    <w:rsid w:val="002C40BD"/>
    <w:pPr>
      <w:spacing w:after="0" w:line="240" w:lineRule="auto"/>
      <w:ind w:left="960" w:hanging="240"/>
    </w:pPr>
  </w:style>
  <w:style w:type="paragraph" w:styleId="Indeks5">
    <w:name w:val="index 5"/>
    <w:basedOn w:val="Normal"/>
    <w:next w:val="Normal"/>
    <w:autoRedefine/>
    <w:uiPriority w:val="99"/>
    <w:semiHidden/>
    <w:unhideWhenUsed/>
    <w:rsid w:val="002C40BD"/>
    <w:pPr>
      <w:spacing w:after="0" w:line="240" w:lineRule="auto"/>
      <w:ind w:left="1200" w:hanging="240"/>
    </w:pPr>
  </w:style>
  <w:style w:type="paragraph" w:styleId="Indeks6">
    <w:name w:val="index 6"/>
    <w:basedOn w:val="Normal"/>
    <w:next w:val="Normal"/>
    <w:autoRedefine/>
    <w:uiPriority w:val="99"/>
    <w:semiHidden/>
    <w:unhideWhenUsed/>
    <w:rsid w:val="002C40BD"/>
    <w:pPr>
      <w:spacing w:after="0" w:line="240" w:lineRule="auto"/>
      <w:ind w:left="1440" w:hanging="240"/>
    </w:pPr>
  </w:style>
  <w:style w:type="paragraph" w:styleId="Indeks7">
    <w:name w:val="index 7"/>
    <w:basedOn w:val="Normal"/>
    <w:next w:val="Normal"/>
    <w:autoRedefine/>
    <w:uiPriority w:val="99"/>
    <w:semiHidden/>
    <w:unhideWhenUsed/>
    <w:rsid w:val="002C40BD"/>
    <w:pPr>
      <w:spacing w:after="0" w:line="240" w:lineRule="auto"/>
      <w:ind w:left="1680" w:hanging="240"/>
    </w:pPr>
  </w:style>
  <w:style w:type="paragraph" w:styleId="Indeks8">
    <w:name w:val="index 8"/>
    <w:basedOn w:val="Normal"/>
    <w:next w:val="Normal"/>
    <w:autoRedefine/>
    <w:uiPriority w:val="99"/>
    <w:semiHidden/>
    <w:unhideWhenUsed/>
    <w:rsid w:val="002C40BD"/>
    <w:pPr>
      <w:spacing w:after="0" w:line="240" w:lineRule="auto"/>
      <w:ind w:left="1920" w:hanging="240"/>
    </w:pPr>
  </w:style>
  <w:style w:type="paragraph" w:styleId="Indeks9">
    <w:name w:val="index 9"/>
    <w:basedOn w:val="Normal"/>
    <w:next w:val="Normal"/>
    <w:autoRedefine/>
    <w:uiPriority w:val="99"/>
    <w:semiHidden/>
    <w:unhideWhenUsed/>
    <w:rsid w:val="002C40BD"/>
    <w:pPr>
      <w:spacing w:after="0" w:line="240" w:lineRule="auto"/>
      <w:ind w:left="2160" w:hanging="240"/>
    </w:pPr>
  </w:style>
  <w:style w:type="paragraph" w:styleId="INNH6">
    <w:name w:val="toc 6"/>
    <w:basedOn w:val="Normal"/>
    <w:next w:val="Normal"/>
    <w:autoRedefine/>
    <w:uiPriority w:val="39"/>
    <w:semiHidden/>
    <w:unhideWhenUsed/>
    <w:rsid w:val="002C40BD"/>
    <w:pPr>
      <w:spacing w:after="100"/>
      <w:ind w:left="1200"/>
    </w:pPr>
  </w:style>
  <w:style w:type="paragraph" w:styleId="INNH7">
    <w:name w:val="toc 7"/>
    <w:basedOn w:val="Normal"/>
    <w:next w:val="Normal"/>
    <w:autoRedefine/>
    <w:uiPriority w:val="39"/>
    <w:semiHidden/>
    <w:unhideWhenUsed/>
    <w:rsid w:val="002C40BD"/>
    <w:pPr>
      <w:spacing w:after="100"/>
      <w:ind w:left="1440"/>
    </w:pPr>
  </w:style>
  <w:style w:type="paragraph" w:styleId="INNH8">
    <w:name w:val="toc 8"/>
    <w:basedOn w:val="Normal"/>
    <w:next w:val="Normal"/>
    <w:autoRedefine/>
    <w:uiPriority w:val="39"/>
    <w:semiHidden/>
    <w:unhideWhenUsed/>
    <w:rsid w:val="002C40BD"/>
    <w:pPr>
      <w:spacing w:after="100"/>
      <w:ind w:left="1680"/>
    </w:pPr>
  </w:style>
  <w:style w:type="paragraph" w:styleId="INNH9">
    <w:name w:val="toc 9"/>
    <w:basedOn w:val="Normal"/>
    <w:next w:val="Normal"/>
    <w:autoRedefine/>
    <w:uiPriority w:val="39"/>
    <w:semiHidden/>
    <w:unhideWhenUsed/>
    <w:rsid w:val="002C40BD"/>
    <w:pPr>
      <w:spacing w:after="100"/>
      <w:ind w:left="1920"/>
    </w:pPr>
  </w:style>
  <w:style w:type="paragraph" w:styleId="Vanliginnrykk">
    <w:name w:val="Normal Indent"/>
    <w:basedOn w:val="Normal"/>
    <w:uiPriority w:val="99"/>
    <w:semiHidden/>
    <w:unhideWhenUsed/>
    <w:rsid w:val="002C40BD"/>
    <w:pPr>
      <w:ind w:left="708"/>
    </w:pPr>
  </w:style>
  <w:style w:type="paragraph" w:styleId="Stikkordregisteroverskrift">
    <w:name w:val="index heading"/>
    <w:basedOn w:val="Normal"/>
    <w:next w:val="Indeks1"/>
    <w:uiPriority w:val="99"/>
    <w:semiHidden/>
    <w:unhideWhenUsed/>
    <w:rsid w:val="002C40B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C40BD"/>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2C40BD"/>
    <w:pPr>
      <w:spacing w:after="0"/>
    </w:pPr>
  </w:style>
  <w:style w:type="paragraph" w:styleId="Konvoluttadresse">
    <w:name w:val="envelope address"/>
    <w:basedOn w:val="Normal"/>
    <w:uiPriority w:val="99"/>
    <w:semiHidden/>
    <w:unhideWhenUsed/>
    <w:rsid w:val="002C40B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C40BD"/>
  </w:style>
  <w:style w:type="character" w:styleId="Sluttnotereferanse">
    <w:name w:val="endnote reference"/>
    <w:basedOn w:val="Standardskriftforavsnitt"/>
    <w:uiPriority w:val="99"/>
    <w:semiHidden/>
    <w:unhideWhenUsed/>
    <w:rsid w:val="002C40BD"/>
    <w:rPr>
      <w:vertAlign w:val="superscript"/>
    </w:rPr>
  </w:style>
  <w:style w:type="paragraph" w:styleId="Sluttnotetekst">
    <w:name w:val="endnote text"/>
    <w:basedOn w:val="Normal"/>
    <w:link w:val="SluttnotetekstTegn"/>
    <w:uiPriority w:val="99"/>
    <w:semiHidden/>
    <w:unhideWhenUsed/>
    <w:rsid w:val="002C40BD"/>
    <w:pPr>
      <w:spacing w:after="0" w:line="240" w:lineRule="auto"/>
    </w:pPr>
    <w:rPr>
      <w:sz w:val="20"/>
      <w:szCs w:val="20"/>
    </w:rPr>
  </w:style>
  <w:style w:type="character" w:customStyle="1" w:styleId="SluttnotetekstTegn1">
    <w:name w:val="Sluttnotetekst Tegn1"/>
    <w:basedOn w:val="Standardskriftforavsnitt"/>
    <w:uiPriority w:val="99"/>
    <w:semiHidden/>
    <w:rsid w:val="00E374E2"/>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2C40BD"/>
    <w:pPr>
      <w:spacing w:after="0"/>
      <w:ind w:left="240" w:hanging="240"/>
    </w:pPr>
  </w:style>
  <w:style w:type="paragraph" w:styleId="Makrotekst">
    <w:name w:val="macro"/>
    <w:link w:val="MakrotekstTegn"/>
    <w:uiPriority w:val="99"/>
    <w:semiHidden/>
    <w:unhideWhenUsed/>
    <w:rsid w:val="002C40B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2C40BD"/>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2C40B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C40BD"/>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2C40BD"/>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2C40BD"/>
    <w:pPr>
      <w:spacing w:after="0" w:line="240" w:lineRule="auto"/>
      <w:ind w:left="4252"/>
    </w:pPr>
  </w:style>
  <w:style w:type="character" w:customStyle="1" w:styleId="HilsenTegn">
    <w:name w:val="Hilsen Tegn"/>
    <w:basedOn w:val="Standardskriftforavsnitt"/>
    <w:link w:val="Hilsen"/>
    <w:uiPriority w:val="99"/>
    <w:semiHidden/>
    <w:rsid w:val="002C40BD"/>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2C40BD"/>
    <w:pPr>
      <w:spacing w:after="0" w:line="240" w:lineRule="auto"/>
      <w:ind w:left="4252"/>
    </w:pPr>
  </w:style>
  <w:style w:type="character" w:customStyle="1" w:styleId="UnderskriftTegn1">
    <w:name w:val="Underskrift Tegn1"/>
    <w:basedOn w:val="Standardskriftforavsnitt"/>
    <w:uiPriority w:val="99"/>
    <w:semiHidden/>
    <w:rsid w:val="00E374E2"/>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2C40BD"/>
    <w:pPr>
      <w:ind w:left="283"/>
      <w:contextualSpacing/>
    </w:pPr>
  </w:style>
  <w:style w:type="paragraph" w:styleId="Liste-forts2">
    <w:name w:val="List Continue 2"/>
    <w:basedOn w:val="Normal"/>
    <w:uiPriority w:val="99"/>
    <w:semiHidden/>
    <w:unhideWhenUsed/>
    <w:rsid w:val="002C40BD"/>
    <w:pPr>
      <w:ind w:left="566"/>
      <w:contextualSpacing/>
    </w:pPr>
  </w:style>
  <w:style w:type="paragraph" w:styleId="Liste-forts3">
    <w:name w:val="List Continue 3"/>
    <w:basedOn w:val="Normal"/>
    <w:uiPriority w:val="99"/>
    <w:semiHidden/>
    <w:unhideWhenUsed/>
    <w:rsid w:val="002C40BD"/>
    <w:pPr>
      <w:ind w:left="849"/>
      <w:contextualSpacing/>
    </w:pPr>
  </w:style>
  <w:style w:type="paragraph" w:styleId="Liste-forts4">
    <w:name w:val="List Continue 4"/>
    <w:basedOn w:val="Normal"/>
    <w:uiPriority w:val="99"/>
    <w:semiHidden/>
    <w:unhideWhenUsed/>
    <w:rsid w:val="002C40BD"/>
    <w:pPr>
      <w:ind w:left="1132"/>
      <w:contextualSpacing/>
    </w:pPr>
  </w:style>
  <w:style w:type="paragraph" w:styleId="Liste-forts5">
    <w:name w:val="List Continue 5"/>
    <w:basedOn w:val="Normal"/>
    <w:uiPriority w:val="99"/>
    <w:semiHidden/>
    <w:unhideWhenUsed/>
    <w:rsid w:val="002C40BD"/>
    <w:pPr>
      <w:ind w:left="1415"/>
      <w:contextualSpacing/>
    </w:pPr>
  </w:style>
  <w:style w:type="paragraph" w:styleId="Meldingshode">
    <w:name w:val="Message Header"/>
    <w:basedOn w:val="Normal"/>
    <w:link w:val="MeldingshodeTegn"/>
    <w:uiPriority w:val="99"/>
    <w:semiHidden/>
    <w:unhideWhenUsed/>
    <w:rsid w:val="002C40B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C40BD"/>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2C40BD"/>
  </w:style>
  <w:style w:type="character" w:customStyle="1" w:styleId="InnledendehilsenTegn">
    <w:name w:val="Innledende hilsen Tegn"/>
    <w:basedOn w:val="Standardskriftforavsnitt"/>
    <w:link w:val="Innledendehilsen"/>
    <w:uiPriority w:val="99"/>
    <w:semiHidden/>
    <w:rsid w:val="002C40BD"/>
    <w:rPr>
      <w:rFonts w:ascii="Times New Roman" w:eastAsia="Times New Roman" w:hAnsi="Times New Roman"/>
      <w:spacing w:val="4"/>
      <w:kern w:val="0"/>
      <w:szCs w:val="22"/>
      <w14:ligatures w14:val="none"/>
    </w:rPr>
  </w:style>
  <w:style w:type="paragraph" w:styleId="Dato0">
    <w:name w:val="Date"/>
    <w:basedOn w:val="Normal"/>
    <w:next w:val="Normal"/>
    <w:link w:val="DatoTegn"/>
    <w:rsid w:val="002C40BD"/>
  </w:style>
  <w:style w:type="character" w:customStyle="1" w:styleId="DatoTegn1">
    <w:name w:val="Dato Tegn1"/>
    <w:basedOn w:val="Standardskriftforavsnitt"/>
    <w:uiPriority w:val="99"/>
    <w:semiHidden/>
    <w:rsid w:val="00E374E2"/>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2C40BD"/>
    <w:pPr>
      <w:spacing w:after="0" w:line="240" w:lineRule="auto"/>
    </w:pPr>
  </w:style>
  <w:style w:type="character" w:customStyle="1" w:styleId="NotatoverskriftTegn">
    <w:name w:val="Notatoverskrift Tegn"/>
    <w:basedOn w:val="Standardskriftforavsnitt"/>
    <w:link w:val="Notatoverskrift"/>
    <w:uiPriority w:val="99"/>
    <w:semiHidden/>
    <w:rsid w:val="002C40BD"/>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2C40BD"/>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2C40BD"/>
    <w:rPr>
      <w:color w:val="96607D" w:themeColor="followedHyperlink"/>
      <w:u w:val="single"/>
    </w:rPr>
  </w:style>
  <w:style w:type="character" w:styleId="Utheving">
    <w:name w:val="Emphasis"/>
    <w:basedOn w:val="Standardskriftforavsnitt"/>
    <w:uiPriority w:val="20"/>
    <w:qFormat/>
    <w:rsid w:val="002C40BD"/>
    <w:rPr>
      <w:i/>
      <w:iCs/>
    </w:rPr>
  </w:style>
  <w:style w:type="paragraph" w:styleId="Dokumentkart">
    <w:name w:val="Document Map"/>
    <w:basedOn w:val="Normal"/>
    <w:link w:val="DokumentkartTegn"/>
    <w:uiPriority w:val="99"/>
    <w:semiHidden/>
    <w:rsid w:val="002C40B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2C40BD"/>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2C40BD"/>
    <w:rPr>
      <w:rFonts w:ascii="Courier New" w:hAnsi="Courier New" w:cs="Courier New"/>
      <w:sz w:val="20"/>
    </w:rPr>
  </w:style>
  <w:style w:type="character" w:customStyle="1" w:styleId="RentekstTegn">
    <w:name w:val="Ren tekst Tegn"/>
    <w:basedOn w:val="Standardskriftforavsnitt"/>
    <w:link w:val="Rentekst"/>
    <w:uiPriority w:val="99"/>
    <w:semiHidden/>
    <w:rsid w:val="002C40BD"/>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2C40BD"/>
    <w:pPr>
      <w:spacing w:after="0" w:line="240" w:lineRule="auto"/>
    </w:pPr>
  </w:style>
  <w:style w:type="character" w:customStyle="1" w:styleId="E-postsignaturTegn">
    <w:name w:val="E-postsignatur Tegn"/>
    <w:basedOn w:val="Standardskriftforavsnitt"/>
    <w:link w:val="E-postsignatur"/>
    <w:uiPriority w:val="99"/>
    <w:semiHidden/>
    <w:rsid w:val="002C40BD"/>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2C40BD"/>
    <w:rPr>
      <w:szCs w:val="24"/>
    </w:rPr>
  </w:style>
  <w:style w:type="character" w:styleId="HTML-akronym">
    <w:name w:val="HTML Acronym"/>
    <w:basedOn w:val="Standardskriftforavsnitt"/>
    <w:uiPriority w:val="99"/>
    <w:semiHidden/>
    <w:unhideWhenUsed/>
    <w:rsid w:val="002C40BD"/>
  </w:style>
  <w:style w:type="paragraph" w:styleId="HTML-adresse">
    <w:name w:val="HTML Address"/>
    <w:basedOn w:val="Normal"/>
    <w:link w:val="HTML-adresseTegn"/>
    <w:uiPriority w:val="99"/>
    <w:semiHidden/>
    <w:unhideWhenUsed/>
    <w:rsid w:val="002C40BD"/>
    <w:pPr>
      <w:spacing w:after="0" w:line="240" w:lineRule="auto"/>
    </w:pPr>
    <w:rPr>
      <w:i/>
      <w:iCs/>
    </w:rPr>
  </w:style>
  <w:style w:type="character" w:customStyle="1" w:styleId="HTML-adresseTegn">
    <w:name w:val="HTML-adresse Tegn"/>
    <w:basedOn w:val="Standardskriftforavsnitt"/>
    <w:link w:val="HTML-adresse"/>
    <w:uiPriority w:val="99"/>
    <w:semiHidden/>
    <w:rsid w:val="002C40BD"/>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2C40BD"/>
    <w:rPr>
      <w:i/>
      <w:iCs/>
    </w:rPr>
  </w:style>
  <w:style w:type="character" w:styleId="HTML-kode">
    <w:name w:val="HTML Code"/>
    <w:basedOn w:val="Standardskriftforavsnitt"/>
    <w:uiPriority w:val="99"/>
    <w:semiHidden/>
    <w:unhideWhenUsed/>
    <w:rsid w:val="002C40BD"/>
    <w:rPr>
      <w:rFonts w:ascii="Consolas" w:hAnsi="Consolas"/>
      <w:sz w:val="20"/>
      <w:szCs w:val="20"/>
    </w:rPr>
  </w:style>
  <w:style w:type="character" w:styleId="HTML-definisjon">
    <w:name w:val="HTML Definition"/>
    <w:basedOn w:val="Standardskriftforavsnitt"/>
    <w:uiPriority w:val="99"/>
    <w:semiHidden/>
    <w:unhideWhenUsed/>
    <w:rsid w:val="002C40BD"/>
    <w:rPr>
      <w:i/>
      <w:iCs/>
    </w:rPr>
  </w:style>
  <w:style w:type="character" w:styleId="HTML-tastatur">
    <w:name w:val="HTML Keyboard"/>
    <w:basedOn w:val="Standardskriftforavsnitt"/>
    <w:uiPriority w:val="99"/>
    <w:semiHidden/>
    <w:unhideWhenUsed/>
    <w:rsid w:val="002C40BD"/>
    <w:rPr>
      <w:rFonts w:ascii="Consolas" w:hAnsi="Consolas"/>
      <w:sz w:val="20"/>
      <w:szCs w:val="20"/>
    </w:rPr>
  </w:style>
  <w:style w:type="paragraph" w:styleId="HTML-forhndsformatert">
    <w:name w:val="HTML Preformatted"/>
    <w:basedOn w:val="Normal"/>
    <w:link w:val="HTML-forhndsformatertTegn"/>
    <w:uiPriority w:val="99"/>
    <w:semiHidden/>
    <w:unhideWhenUsed/>
    <w:rsid w:val="002C40B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C40BD"/>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2C40BD"/>
    <w:rPr>
      <w:rFonts w:ascii="Consolas" w:hAnsi="Consolas"/>
      <w:sz w:val="24"/>
      <w:szCs w:val="24"/>
    </w:rPr>
  </w:style>
  <w:style w:type="character" w:styleId="HTML-skrivemaskin">
    <w:name w:val="HTML Typewriter"/>
    <w:basedOn w:val="Standardskriftforavsnitt"/>
    <w:uiPriority w:val="99"/>
    <w:semiHidden/>
    <w:unhideWhenUsed/>
    <w:rsid w:val="002C40BD"/>
    <w:rPr>
      <w:rFonts w:ascii="Consolas" w:hAnsi="Consolas"/>
      <w:sz w:val="20"/>
      <w:szCs w:val="20"/>
    </w:rPr>
  </w:style>
  <w:style w:type="character" w:styleId="HTML-variabel">
    <w:name w:val="HTML Variable"/>
    <w:basedOn w:val="Standardskriftforavsnitt"/>
    <w:uiPriority w:val="99"/>
    <w:semiHidden/>
    <w:unhideWhenUsed/>
    <w:rsid w:val="002C40BD"/>
    <w:rPr>
      <w:i/>
      <w:iCs/>
    </w:rPr>
  </w:style>
  <w:style w:type="paragraph" w:styleId="Kommentaremne">
    <w:name w:val="annotation subject"/>
    <w:basedOn w:val="Merknadstekst"/>
    <w:next w:val="Merknadstekst"/>
    <w:link w:val="KommentaremneTegn"/>
    <w:uiPriority w:val="99"/>
    <w:semiHidden/>
    <w:unhideWhenUsed/>
    <w:rsid w:val="002C40B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2C40BD"/>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2C40B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C40BD"/>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2C40BD"/>
    <w:pPr>
      <w:spacing w:after="200" w:line="276" w:lineRule="auto"/>
    </w:pPr>
    <w:rPr>
      <w:rFonts w:ascii="Times" w:eastAsia="Batang" w:hAnsi="Times"/>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C40BD"/>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2C40BD"/>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E374E2"/>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2C40BD"/>
    <w:rPr>
      <w:i/>
      <w:iCs/>
      <w:color w:val="808080" w:themeColor="text1" w:themeTint="7F"/>
    </w:rPr>
  </w:style>
  <w:style w:type="character" w:styleId="Sterkutheving">
    <w:name w:val="Intense Emphasis"/>
    <w:basedOn w:val="Standardskriftforavsnitt"/>
    <w:uiPriority w:val="21"/>
    <w:qFormat/>
    <w:rsid w:val="002C40BD"/>
    <w:rPr>
      <w:b/>
      <w:bCs/>
      <w:i/>
      <w:iCs/>
      <w:color w:val="156082" w:themeColor="accent1"/>
    </w:rPr>
  </w:style>
  <w:style w:type="character" w:styleId="Svakreferanse">
    <w:name w:val="Subtle Reference"/>
    <w:basedOn w:val="Standardskriftforavsnitt"/>
    <w:uiPriority w:val="31"/>
    <w:qFormat/>
    <w:rsid w:val="002C40BD"/>
    <w:rPr>
      <w:smallCaps/>
      <w:color w:val="E97132" w:themeColor="accent2"/>
      <w:u w:val="single"/>
    </w:rPr>
  </w:style>
  <w:style w:type="character" w:styleId="Sterkreferanse">
    <w:name w:val="Intense Reference"/>
    <w:basedOn w:val="Standardskriftforavsnitt"/>
    <w:uiPriority w:val="32"/>
    <w:qFormat/>
    <w:rsid w:val="002C40BD"/>
    <w:rPr>
      <w:b/>
      <w:bCs/>
      <w:smallCaps/>
      <w:color w:val="E97132" w:themeColor="accent2"/>
      <w:spacing w:val="5"/>
      <w:u w:val="single"/>
    </w:rPr>
  </w:style>
  <w:style w:type="character" w:styleId="Boktittel">
    <w:name w:val="Book Title"/>
    <w:basedOn w:val="Standardskriftforavsnitt"/>
    <w:uiPriority w:val="33"/>
    <w:qFormat/>
    <w:rsid w:val="002C40BD"/>
    <w:rPr>
      <w:b/>
      <w:bCs/>
      <w:smallCaps/>
      <w:spacing w:val="5"/>
    </w:rPr>
  </w:style>
  <w:style w:type="paragraph" w:styleId="Bibliografi">
    <w:name w:val="Bibliography"/>
    <w:basedOn w:val="Normal"/>
    <w:next w:val="Normal"/>
    <w:uiPriority w:val="37"/>
    <w:semiHidden/>
    <w:unhideWhenUsed/>
    <w:rsid w:val="002C40BD"/>
  </w:style>
  <w:style w:type="paragraph" w:styleId="Overskriftforinnholdsfortegnelse">
    <w:name w:val="TOC Heading"/>
    <w:basedOn w:val="Overskrift1"/>
    <w:next w:val="Normal"/>
    <w:uiPriority w:val="39"/>
    <w:unhideWhenUsed/>
    <w:qFormat/>
    <w:rsid w:val="002C40BD"/>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2C40BD"/>
    <w:pPr>
      <w:numPr>
        <w:numId w:val="155"/>
      </w:numPr>
    </w:pPr>
  </w:style>
  <w:style w:type="numbering" w:customStyle="1" w:styleId="NrListeStil">
    <w:name w:val="NrListeStil"/>
    <w:uiPriority w:val="99"/>
    <w:rsid w:val="002C40BD"/>
    <w:pPr>
      <w:numPr>
        <w:numId w:val="156"/>
      </w:numPr>
    </w:pPr>
  </w:style>
  <w:style w:type="numbering" w:customStyle="1" w:styleId="RomListeStil">
    <w:name w:val="RomListeStil"/>
    <w:uiPriority w:val="99"/>
    <w:rsid w:val="002C40BD"/>
    <w:pPr>
      <w:numPr>
        <w:numId w:val="157"/>
      </w:numPr>
    </w:pPr>
  </w:style>
  <w:style w:type="numbering" w:customStyle="1" w:styleId="StrekListeStil">
    <w:name w:val="StrekListeStil"/>
    <w:uiPriority w:val="99"/>
    <w:rsid w:val="002C40BD"/>
    <w:pPr>
      <w:numPr>
        <w:numId w:val="158"/>
      </w:numPr>
    </w:pPr>
  </w:style>
  <w:style w:type="numbering" w:customStyle="1" w:styleId="OpplistingListeStil">
    <w:name w:val="OpplistingListeStil"/>
    <w:uiPriority w:val="99"/>
    <w:rsid w:val="002C40BD"/>
    <w:pPr>
      <w:numPr>
        <w:numId w:val="159"/>
      </w:numPr>
    </w:pPr>
  </w:style>
  <w:style w:type="numbering" w:customStyle="1" w:styleId="l-NummerertListeStil">
    <w:name w:val="l-NummerertListeStil"/>
    <w:uiPriority w:val="99"/>
    <w:rsid w:val="002C40BD"/>
    <w:pPr>
      <w:numPr>
        <w:numId w:val="160"/>
      </w:numPr>
    </w:pPr>
  </w:style>
  <w:style w:type="numbering" w:customStyle="1" w:styleId="l-AlfaListeStil">
    <w:name w:val="l-AlfaListeStil"/>
    <w:uiPriority w:val="99"/>
    <w:rsid w:val="002C40BD"/>
    <w:pPr>
      <w:numPr>
        <w:numId w:val="161"/>
      </w:numPr>
    </w:pPr>
  </w:style>
  <w:style w:type="numbering" w:customStyle="1" w:styleId="OverskrifterListeStil">
    <w:name w:val="OverskrifterListeStil"/>
    <w:uiPriority w:val="99"/>
    <w:rsid w:val="002C40BD"/>
    <w:pPr>
      <w:numPr>
        <w:numId w:val="162"/>
      </w:numPr>
    </w:pPr>
  </w:style>
  <w:style w:type="numbering" w:customStyle="1" w:styleId="l-ListeStilMal">
    <w:name w:val="l-ListeStilMal"/>
    <w:uiPriority w:val="99"/>
    <w:rsid w:val="002C40BD"/>
    <w:pPr>
      <w:numPr>
        <w:numId w:val="163"/>
      </w:numPr>
    </w:pPr>
  </w:style>
  <w:style w:type="paragraph" w:styleId="Avsenderadresse">
    <w:name w:val="envelope return"/>
    <w:basedOn w:val="Normal"/>
    <w:uiPriority w:val="99"/>
    <w:semiHidden/>
    <w:unhideWhenUsed/>
    <w:rsid w:val="002C40B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2C40BD"/>
  </w:style>
  <w:style w:type="character" w:customStyle="1" w:styleId="BrdtekstTegn">
    <w:name w:val="Brødtekst Tegn"/>
    <w:basedOn w:val="Standardskriftforavsnitt"/>
    <w:link w:val="Brdtekst"/>
    <w:semiHidden/>
    <w:rsid w:val="002C40BD"/>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2C40BD"/>
    <w:pPr>
      <w:ind w:firstLine="360"/>
    </w:pPr>
  </w:style>
  <w:style w:type="character" w:customStyle="1" w:styleId="Brdtekst-frsteinnrykkTegn">
    <w:name w:val="Brødtekst - første innrykk Tegn"/>
    <w:basedOn w:val="BrdtekstTegn"/>
    <w:link w:val="Brdtekst-frsteinnrykk"/>
    <w:uiPriority w:val="99"/>
    <w:semiHidden/>
    <w:rsid w:val="002C40BD"/>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2C40BD"/>
    <w:pPr>
      <w:ind w:left="283"/>
    </w:pPr>
  </w:style>
  <w:style w:type="character" w:customStyle="1" w:styleId="BrdtekstinnrykkTegn">
    <w:name w:val="Brødtekstinnrykk Tegn"/>
    <w:basedOn w:val="Standardskriftforavsnitt"/>
    <w:link w:val="Brdtekstinnrykk"/>
    <w:uiPriority w:val="99"/>
    <w:semiHidden/>
    <w:rsid w:val="002C40BD"/>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2C40BD"/>
    <w:pPr>
      <w:ind w:left="360" w:firstLine="360"/>
    </w:pPr>
  </w:style>
  <w:style w:type="character" w:customStyle="1" w:styleId="Brdtekst-frsteinnrykk2Tegn">
    <w:name w:val="Brødtekst - første innrykk 2 Tegn"/>
    <w:basedOn w:val="BrdtekstinnrykkTegn"/>
    <w:link w:val="Brdtekst-frsteinnrykk2"/>
    <w:uiPriority w:val="99"/>
    <w:semiHidden/>
    <w:rsid w:val="002C40BD"/>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2C40BD"/>
    <w:pPr>
      <w:spacing w:line="480" w:lineRule="auto"/>
    </w:pPr>
  </w:style>
  <w:style w:type="character" w:customStyle="1" w:styleId="Brdtekst2Tegn">
    <w:name w:val="Brødtekst 2 Tegn"/>
    <w:basedOn w:val="Standardskriftforavsnitt"/>
    <w:link w:val="Brdtekst2"/>
    <w:uiPriority w:val="99"/>
    <w:semiHidden/>
    <w:rsid w:val="002C40BD"/>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2C40BD"/>
    <w:rPr>
      <w:sz w:val="16"/>
      <w:szCs w:val="16"/>
    </w:rPr>
  </w:style>
  <w:style w:type="character" w:customStyle="1" w:styleId="Brdtekst3Tegn">
    <w:name w:val="Brødtekst 3 Tegn"/>
    <w:basedOn w:val="Standardskriftforavsnitt"/>
    <w:link w:val="Brdtekst3"/>
    <w:uiPriority w:val="99"/>
    <w:semiHidden/>
    <w:rsid w:val="002C40BD"/>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2C40BD"/>
    <w:pPr>
      <w:spacing w:line="480" w:lineRule="auto"/>
      <w:ind w:left="283"/>
    </w:pPr>
  </w:style>
  <w:style w:type="character" w:customStyle="1" w:styleId="Brdtekstinnrykk2Tegn">
    <w:name w:val="Brødtekstinnrykk 2 Tegn"/>
    <w:basedOn w:val="Standardskriftforavsnitt"/>
    <w:link w:val="Brdtekstinnrykk2"/>
    <w:uiPriority w:val="99"/>
    <w:semiHidden/>
    <w:rsid w:val="002C40BD"/>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2C40BD"/>
    <w:pPr>
      <w:ind w:left="283"/>
    </w:pPr>
    <w:rPr>
      <w:sz w:val="16"/>
      <w:szCs w:val="16"/>
    </w:rPr>
  </w:style>
  <w:style w:type="character" w:customStyle="1" w:styleId="Brdtekstinnrykk3Tegn">
    <w:name w:val="Brødtekstinnrykk 3 Tegn"/>
    <w:basedOn w:val="Standardskriftforavsnitt"/>
    <w:link w:val="Brdtekstinnrykk3"/>
    <w:uiPriority w:val="99"/>
    <w:semiHidden/>
    <w:rsid w:val="002C40BD"/>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2C40BD"/>
    <w:pPr>
      <w:numPr>
        <w:numId w:val="0"/>
      </w:numPr>
    </w:pPr>
  </w:style>
  <w:style w:type="paragraph" w:customStyle="1" w:styleId="TrykkeriMerknad">
    <w:name w:val="TrykkeriMerknad"/>
    <w:basedOn w:val="Normal"/>
    <w:qFormat/>
    <w:rsid w:val="002C40BD"/>
    <w:pPr>
      <w:spacing w:before="60"/>
    </w:pPr>
    <w:rPr>
      <w:rFonts w:ascii="Arial" w:hAnsi="Arial"/>
      <w:color w:val="BF4E14" w:themeColor="accent2" w:themeShade="BF"/>
      <w:sz w:val="26"/>
    </w:rPr>
  </w:style>
  <w:style w:type="paragraph" w:customStyle="1" w:styleId="ForfatterMerknad">
    <w:name w:val="ForfatterMerknad"/>
    <w:basedOn w:val="TrykkeriMerknad"/>
    <w:qFormat/>
    <w:rsid w:val="002C40BD"/>
    <w:pPr>
      <w:shd w:val="clear" w:color="auto" w:fill="FFFF99"/>
      <w:spacing w:line="240" w:lineRule="auto"/>
    </w:pPr>
    <w:rPr>
      <w:color w:val="80340D" w:themeColor="accent2" w:themeShade="80"/>
    </w:rPr>
  </w:style>
  <w:style w:type="paragraph" w:customStyle="1" w:styleId="tblRad">
    <w:name w:val="tblRad"/>
    <w:rsid w:val="002C40B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2C40BD"/>
  </w:style>
  <w:style w:type="paragraph" w:customStyle="1" w:styleId="tbl2LinjeSumBold">
    <w:name w:val="tbl2LinjeSumBold"/>
    <w:basedOn w:val="tblRad"/>
    <w:rsid w:val="002C40BD"/>
  </w:style>
  <w:style w:type="paragraph" w:customStyle="1" w:styleId="tblDelsum1">
    <w:name w:val="tblDelsum1"/>
    <w:basedOn w:val="tblRad"/>
    <w:rsid w:val="002C40BD"/>
  </w:style>
  <w:style w:type="paragraph" w:customStyle="1" w:styleId="tblDelsum1-Kapittel">
    <w:name w:val="tblDelsum1 - Kapittel"/>
    <w:basedOn w:val="tblDelsum1"/>
    <w:rsid w:val="002C40BD"/>
    <w:pPr>
      <w:keepNext w:val="0"/>
    </w:pPr>
  </w:style>
  <w:style w:type="paragraph" w:customStyle="1" w:styleId="tblDelsum2">
    <w:name w:val="tblDelsum2"/>
    <w:basedOn w:val="tblRad"/>
    <w:rsid w:val="002C40BD"/>
  </w:style>
  <w:style w:type="paragraph" w:customStyle="1" w:styleId="tblDelsum2-Kapittel">
    <w:name w:val="tblDelsum2 - Kapittel"/>
    <w:basedOn w:val="tblDelsum2"/>
    <w:rsid w:val="002C40BD"/>
    <w:pPr>
      <w:keepNext w:val="0"/>
    </w:pPr>
  </w:style>
  <w:style w:type="paragraph" w:customStyle="1" w:styleId="tblTabelloverskrift">
    <w:name w:val="tblTabelloverskrift"/>
    <w:rsid w:val="002C40B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2C40BD"/>
    <w:pPr>
      <w:spacing w:after="0"/>
      <w:jc w:val="right"/>
    </w:pPr>
    <w:rPr>
      <w:b w:val="0"/>
      <w:caps w:val="0"/>
      <w:sz w:val="16"/>
    </w:rPr>
  </w:style>
  <w:style w:type="paragraph" w:customStyle="1" w:styleId="tblKategoriOverskrift">
    <w:name w:val="tblKategoriOverskrift"/>
    <w:basedOn w:val="tblRad"/>
    <w:rsid w:val="002C40BD"/>
    <w:pPr>
      <w:spacing w:before="120"/>
    </w:pPr>
  </w:style>
  <w:style w:type="paragraph" w:customStyle="1" w:styleId="tblKolonneoverskrift">
    <w:name w:val="tblKolonneoverskrift"/>
    <w:basedOn w:val="Normal"/>
    <w:rsid w:val="002C40B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C40BD"/>
    <w:pPr>
      <w:spacing w:after="360"/>
      <w:jc w:val="center"/>
    </w:pPr>
    <w:rPr>
      <w:b w:val="0"/>
      <w:caps w:val="0"/>
    </w:rPr>
  </w:style>
  <w:style w:type="paragraph" w:customStyle="1" w:styleId="tblKolonneoverskrift-Vedtak">
    <w:name w:val="tblKolonneoverskrift - Vedtak"/>
    <w:basedOn w:val="tblTabelloverskrift-Vedtak"/>
    <w:rsid w:val="002C40BD"/>
    <w:pPr>
      <w:spacing w:after="0"/>
    </w:pPr>
  </w:style>
  <w:style w:type="paragraph" w:customStyle="1" w:styleId="tblOverskrift-Vedtak">
    <w:name w:val="tblOverskrift - Vedtak"/>
    <w:basedOn w:val="tblRad"/>
    <w:rsid w:val="002C40BD"/>
    <w:pPr>
      <w:spacing w:before="360"/>
      <w:jc w:val="center"/>
    </w:pPr>
  </w:style>
  <w:style w:type="paragraph" w:customStyle="1" w:styleId="tblRadBold">
    <w:name w:val="tblRadBold"/>
    <w:basedOn w:val="tblRad"/>
    <w:rsid w:val="002C40BD"/>
  </w:style>
  <w:style w:type="paragraph" w:customStyle="1" w:styleId="tblRadItalic">
    <w:name w:val="tblRadItalic"/>
    <w:basedOn w:val="tblRad"/>
    <w:rsid w:val="002C40BD"/>
  </w:style>
  <w:style w:type="paragraph" w:customStyle="1" w:styleId="tblRadItalicSiste">
    <w:name w:val="tblRadItalicSiste"/>
    <w:basedOn w:val="tblRadItalic"/>
    <w:rsid w:val="002C40BD"/>
  </w:style>
  <w:style w:type="paragraph" w:customStyle="1" w:styleId="tblRadMedLuft">
    <w:name w:val="tblRadMedLuft"/>
    <w:basedOn w:val="tblRad"/>
    <w:rsid w:val="002C40BD"/>
    <w:pPr>
      <w:spacing w:before="120"/>
    </w:pPr>
  </w:style>
  <w:style w:type="paragraph" w:customStyle="1" w:styleId="tblRadMedLuftSiste">
    <w:name w:val="tblRadMedLuftSiste"/>
    <w:basedOn w:val="tblRadMedLuft"/>
    <w:rsid w:val="002C40BD"/>
    <w:pPr>
      <w:spacing w:after="120"/>
    </w:pPr>
  </w:style>
  <w:style w:type="paragraph" w:customStyle="1" w:styleId="tblRadMedLuftSiste-Vedtak">
    <w:name w:val="tblRadMedLuftSiste - Vedtak"/>
    <w:basedOn w:val="tblRadMedLuftSiste"/>
    <w:rsid w:val="002C40BD"/>
    <w:pPr>
      <w:keepNext w:val="0"/>
    </w:pPr>
  </w:style>
  <w:style w:type="paragraph" w:customStyle="1" w:styleId="tblRadSiste">
    <w:name w:val="tblRadSiste"/>
    <w:basedOn w:val="tblRad"/>
    <w:rsid w:val="002C40BD"/>
  </w:style>
  <w:style w:type="paragraph" w:customStyle="1" w:styleId="tblSluttsum">
    <w:name w:val="tblSluttsum"/>
    <w:basedOn w:val="tblRad"/>
    <w:rsid w:val="002C40BD"/>
    <w:pPr>
      <w:spacing w:before="120"/>
    </w:pPr>
  </w:style>
  <w:style w:type="table" w:customStyle="1" w:styleId="MetadataTabell">
    <w:name w:val="MetadataTabell"/>
    <w:basedOn w:val="Rutenettabelllys"/>
    <w:uiPriority w:val="99"/>
    <w:rsid w:val="002C40BD"/>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2C40BD"/>
    <w:pPr>
      <w:spacing w:before="60" w:after="60"/>
    </w:pPr>
    <w:rPr>
      <w:rFonts w:ascii="Consolas" w:hAnsi="Consolas"/>
      <w:color w:val="E97132" w:themeColor="accent2"/>
      <w:sz w:val="26"/>
    </w:rPr>
  </w:style>
  <w:style w:type="table" w:styleId="Rutenettabelllys">
    <w:name w:val="Grid Table Light"/>
    <w:basedOn w:val="Vanligtabell"/>
    <w:uiPriority w:val="40"/>
    <w:rsid w:val="002C40BD"/>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2C40BD"/>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2C40BD"/>
    <w:pPr>
      <w:spacing w:after="0" w:line="240" w:lineRule="auto"/>
    </w:pPr>
    <w:tblPr>
      <w:tblBorders>
        <w:top w:val="none" w:sz="0" w:space="0" w:color="auto"/>
        <w:bottom w:val="none" w:sz="0" w:space="0" w:color="auto"/>
        <w:insideH w:val="single" w:sz="4" w:space="0" w:color="auto"/>
      </w:tblBorders>
    </w:tblPr>
  </w:style>
  <w:style w:type="paragraph" w:customStyle="1" w:styleId="toppteksttittel">
    <w:name w:val="toppteksttittel"/>
    <w:basedOn w:val="i-tit"/>
    <w:qFormat/>
    <w:rsid w:val="002C40BD"/>
    <w:rPr>
      <w:sz w:val="24"/>
    </w:rPr>
  </w:style>
  <w:style w:type="paragraph" w:customStyle="1" w:styleId="avsnitt-tittel-tabell">
    <w:name w:val="avsnitt-tittel-tabell"/>
    <w:basedOn w:val="avsnitt-tittel"/>
    <w:qFormat/>
    <w:rsid w:val="002C40BD"/>
  </w:style>
  <w:style w:type="paragraph" w:customStyle="1" w:styleId="b-budkaptit-tabell">
    <w:name w:val="b-budkaptit-tabell"/>
    <w:basedOn w:val="b-budkaptit"/>
    <w:qFormat/>
    <w:rsid w:val="002C40BD"/>
  </w:style>
  <w:style w:type="character" w:styleId="Emneknagg">
    <w:name w:val="Hashtag"/>
    <w:basedOn w:val="Standardskriftforavsnitt"/>
    <w:uiPriority w:val="99"/>
    <w:semiHidden/>
    <w:unhideWhenUsed/>
    <w:rsid w:val="00576C3D"/>
    <w:rPr>
      <w:color w:val="2B579A"/>
      <w:shd w:val="clear" w:color="auto" w:fill="E1DFDD"/>
    </w:rPr>
  </w:style>
  <w:style w:type="character" w:styleId="Omtale">
    <w:name w:val="Mention"/>
    <w:basedOn w:val="Standardskriftforavsnitt"/>
    <w:uiPriority w:val="99"/>
    <w:semiHidden/>
    <w:unhideWhenUsed/>
    <w:rsid w:val="00576C3D"/>
    <w:rPr>
      <w:color w:val="2B579A"/>
      <w:shd w:val="clear" w:color="auto" w:fill="E1DFDD"/>
    </w:rPr>
  </w:style>
  <w:style w:type="paragraph" w:styleId="Sitat0">
    <w:name w:val="Quote"/>
    <w:basedOn w:val="Normal"/>
    <w:next w:val="Normal"/>
    <w:link w:val="SitatTegn1"/>
    <w:uiPriority w:val="29"/>
    <w:qFormat/>
    <w:rsid w:val="00576C3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76C3D"/>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576C3D"/>
    <w:rPr>
      <w:u w:val="dotted"/>
    </w:rPr>
  </w:style>
  <w:style w:type="character" w:styleId="Smartkobling">
    <w:name w:val="Smart Link"/>
    <w:basedOn w:val="Standardskriftforavsnitt"/>
    <w:uiPriority w:val="99"/>
    <w:semiHidden/>
    <w:unhideWhenUsed/>
    <w:rsid w:val="00576C3D"/>
    <w:rPr>
      <w:color w:val="0000FF"/>
      <w:u w:val="single"/>
      <w:shd w:val="clear" w:color="auto" w:fill="F3F2F1"/>
    </w:rPr>
  </w:style>
  <w:style w:type="character" w:styleId="Ulstomtale">
    <w:name w:val="Unresolved Mention"/>
    <w:basedOn w:val="Standardskriftforavsnitt"/>
    <w:uiPriority w:val="99"/>
    <w:semiHidden/>
    <w:unhideWhenUsed/>
    <w:rsid w:val="00576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data.europa.eu/eli/reg_del/2023/2830/oj"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ta.europa.eu/eli/reg/2024/2509/oj)." TargetMode="Externa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yperlink" Target="http://data.europa.eu/eli/reg_del/2015/2446/oj)."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107</TotalTime>
  <Pages>174</Pages>
  <Words>75363</Words>
  <Characters>399425</Characters>
  <Application>Microsoft Office Word</Application>
  <DocSecurity>0</DocSecurity>
  <Lines>3328</Lines>
  <Paragraphs>947</Paragraphs>
  <ScaleCrop>false</ScaleCrop>
  <Company/>
  <LinksUpToDate>false</LinksUpToDate>
  <CharactersWithSpaces>473841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Brith Pedersen</dc:creator>
  <cp:keywords/>
  <dc:description/>
  <cp:lastModifiedBy>May Brith Pedersen</cp:lastModifiedBy>
  <cp:revision>8</cp:revision>
  <dcterms:created xsi:type="dcterms:W3CDTF">2026-03-24T12:37:00Z</dcterms:created>
  <dcterms:modified xsi:type="dcterms:W3CDTF">2026-03-25T07:46:00Z</dcterms:modified>
</cp:coreProperties>
</file>